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D5" w:rsidRDefault="00DB7BD5" w:rsidP="00F77946">
      <w:pPr>
        <w:jc w:val="center"/>
        <w:rPr>
          <w:rFonts w:eastAsia="Times New Roman" w:cs="Times New Roman"/>
          <w:bCs/>
          <w:szCs w:val="24"/>
          <w:lang w:eastAsia="es-CO"/>
        </w:rPr>
      </w:pPr>
    </w:p>
    <w:p w:rsidR="00DB7BD5" w:rsidRDefault="00DB7BD5" w:rsidP="0083733B">
      <w:pPr>
        <w:pStyle w:val="Sinespaciado"/>
        <w:spacing w:line="276" w:lineRule="auto"/>
        <w:jc w:val="center"/>
        <w:rPr>
          <w:rFonts w:ascii="Arial" w:hAnsi="Arial" w:cs="Arial"/>
          <w:b/>
          <w:bCs/>
          <w:color w:val="000000"/>
          <w:sz w:val="24"/>
          <w:szCs w:val="24"/>
          <w:lang w:val="es"/>
        </w:rPr>
      </w:pPr>
      <w:r w:rsidRPr="00B70130">
        <w:rPr>
          <w:rFonts w:ascii="Arial" w:hAnsi="Arial" w:cs="Arial"/>
          <w:b/>
          <w:sz w:val="24"/>
          <w:szCs w:val="24"/>
        </w:rPr>
        <w:t xml:space="preserve">TEXTO </w:t>
      </w:r>
      <w:r>
        <w:rPr>
          <w:rFonts w:ascii="Arial" w:hAnsi="Arial" w:cs="Arial"/>
          <w:b/>
          <w:sz w:val="24"/>
          <w:szCs w:val="24"/>
        </w:rPr>
        <w:t xml:space="preserve">APROBADO EN COMISION PRIMERA DE LA H. CAMARA DE REPRESENTANTES AL </w:t>
      </w:r>
      <w:r w:rsidRPr="00B70130">
        <w:rPr>
          <w:rFonts w:ascii="Arial" w:hAnsi="Arial" w:cs="Arial"/>
          <w:b/>
          <w:sz w:val="24"/>
          <w:szCs w:val="24"/>
        </w:rPr>
        <w:t xml:space="preserve">PROYECTO DE LEY </w:t>
      </w:r>
      <w:r>
        <w:rPr>
          <w:rFonts w:ascii="Arial" w:hAnsi="Arial" w:cs="Arial"/>
          <w:b/>
          <w:sz w:val="24"/>
          <w:szCs w:val="24"/>
        </w:rPr>
        <w:t>No.</w:t>
      </w:r>
      <w:r w:rsidRPr="004C6369">
        <w:rPr>
          <w:rFonts w:ascii="Arial" w:hAnsi="Arial" w:cs="Arial"/>
          <w:b/>
          <w:color w:val="000000"/>
          <w:sz w:val="24"/>
          <w:szCs w:val="24"/>
        </w:rPr>
        <w:t xml:space="preserve"> 0</w:t>
      </w:r>
      <w:r>
        <w:rPr>
          <w:rFonts w:ascii="Arial" w:hAnsi="Arial" w:cs="Arial"/>
          <w:b/>
          <w:color w:val="000000"/>
          <w:sz w:val="24"/>
          <w:szCs w:val="24"/>
        </w:rPr>
        <w:t>16</w:t>
      </w:r>
      <w:r w:rsidRPr="004C6369">
        <w:rPr>
          <w:rFonts w:ascii="Arial" w:hAnsi="Arial" w:cs="Arial"/>
          <w:b/>
          <w:color w:val="000000"/>
          <w:sz w:val="24"/>
          <w:szCs w:val="24"/>
        </w:rPr>
        <w:t xml:space="preserve"> DE 2014 CÁMARA </w:t>
      </w:r>
      <w:r w:rsidRPr="00744A58">
        <w:rPr>
          <w:rFonts w:ascii="Arial" w:hAnsi="Arial" w:cs="Arial"/>
          <w:b/>
          <w:color w:val="000000"/>
          <w:sz w:val="24"/>
          <w:szCs w:val="24"/>
        </w:rPr>
        <w:t>“</w:t>
      </w:r>
      <w:r w:rsidRPr="00744A58">
        <w:rPr>
          <w:rFonts w:ascii="Arial" w:hAnsi="Arial" w:cs="Arial"/>
          <w:b/>
          <w:bCs/>
          <w:color w:val="000000"/>
          <w:sz w:val="24"/>
          <w:szCs w:val="24"/>
          <w:lang w:val="es"/>
        </w:rPr>
        <w:t xml:space="preserve">POR </w:t>
      </w:r>
      <w:r>
        <w:rPr>
          <w:rFonts w:ascii="Arial" w:hAnsi="Arial" w:cs="Arial"/>
          <w:b/>
          <w:bCs/>
          <w:color w:val="000000"/>
          <w:sz w:val="24"/>
          <w:szCs w:val="24"/>
          <w:lang w:val="es"/>
        </w:rPr>
        <w:t>MEDIO DE LA CUAL SE CREA EL ARTICULO 11</w:t>
      </w:r>
      <w:r w:rsidR="00B068A7">
        <w:rPr>
          <w:rFonts w:ascii="Arial" w:hAnsi="Arial" w:cs="Arial"/>
          <w:b/>
          <w:bCs/>
          <w:color w:val="000000"/>
          <w:sz w:val="24"/>
          <w:szCs w:val="24"/>
          <w:lang w:val="es"/>
        </w:rPr>
        <w:t>6</w:t>
      </w:r>
      <w:r>
        <w:rPr>
          <w:rFonts w:ascii="Arial" w:hAnsi="Arial" w:cs="Arial"/>
          <w:b/>
          <w:bCs/>
          <w:color w:val="000000"/>
          <w:sz w:val="24"/>
          <w:szCs w:val="24"/>
          <w:lang w:val="es"/>
        </w:rPr>
        <w:t>A, SE MODIFICA</w:t>
      </w:r>
      <w:r w:rsidR="008E1041">
        <w:rPr>
          <w:rFonts w:ascii="Arial" w:hAnsi="Arial" w:cs="Arial"/>
          <w:b/>
          <w:bCs/>
          <w:color w:val="000000"/>
          <w:sz w:val="24"/>
          <w:szCs w:val="24"/>
          <w:lang w:val="es"/>
        </w:rPr>
        <w:t>N LOS</w:t>
      </w:r>
      <w:r>
        <w:rPr>
          <w:rFonts w:ascii="Arial" w:hAnsi="Arial" w:cs="Arial"/>
          <w:b/>
          <w:bCs/>
          <w:color w:val="000000"/>
          <w:sz w:val="24"/>
          <w:szCs w:val="24"/>
          <w:lang w:val="es"/>
        </w:rPr>
        <w:t xml:space="preserve"> ARTICULO</w:t>
      </w:r>
      <w:r w:rsidR="008E1041">
        <w:rPr>
          <w:rFonts w:ascii="Arial" w:hAnsi="Arial" w:cs="Arial"/>
          <w:b/>
          <w:bCs/>
          <w:color w:val="000000"/>
          <w:sz w:val="24"/>
          <w:szCs w:val="24"/>
          <w:lang w:val="es"/>
        </w:rPr>
        <w:t>S</w:t>
      </w:r>
      <w:r>
        <w:rPr>
          <w:rFonts w:ascii="Arial" w:hAnsi="Arial" w:cs="Arial"/>
          <w:b/>
          <w:bCs/>
          <w:color w:val="000000"/>
          <w:sz w:val="24"/>
          <w:szCs w:val="24"/>
          <w:lang w:val="es"/>
        </w:rPr>
        <w:t xml:space="preserve"> </w:t>
      </w:r>
      <w:r w:rsidR="008E1041">
        <w:rPr>
          <w:rFonts w:ascii="Arial" w:hAnsi="Arial" w:cs="Arial"/>
          <w:b/>
          <w:bCs/>
          <w:color w:val="000000"/>
          <w:sz w:val="24"/>
          <w:szCs w:val="24"/>
          <w:lang w:val="es"/>
        </w:rPr>
        <w:t xml:space="preserve">68A, </w:t>
      </w:r>
      <w:r w:rsidR="0083733B">
        <w:rPr>
          <w:rFonts w:ascii="Arial" w:hAnsi="Arial" w:cs="Arial"/>
          <w:b/>
          <w:bCs/>
          <w:color w:val="000000"/>
          <w:sz w:val="24"/>
          <w:szCs w:val="24"/>
          <w:lang w:val="es"/>
        </w:rPr>
        <w:t xml:space="preserve">104, 113, 359 Y 374 DE LA LEY </w:t>
      </w:r>
      <w:r>
        <w:rPr>
          <w:rFonts w:ascii="Arial" w:hAnsi="Arial" w:cs="Arial"/>
          <w:b/>
          <w:bCs/>
          <w:color w:val="000000"/>
          <w:sz w:val="24"/>
          <w:szCs w:val="24"/>
          <w:lang w:val="es"/>
        </w:rPr>
        <w:t>599 DE 2000 Y SE MODIFICA EL ARTICULO 351 DE LA LEY 906 DE 2004</w:t>
      </w:r>
      <w:r w:rsidRPr="00744A58">
        <w:rPr>
          <w:rFonts w:ascii="Arial" w:hAnsi="Arial" w:cs="Arial"/>
          <w:b/>
          <w:bCs/>
          <w:color w:val="000000"/>
          <w:sz w:val="24"/>
          <w:szCs w:val="24"/>
          <w:lang w:val="es"/>
        </w:rPr>
        <w:t>”.</w:t>
      </w:r>
    </w:p>
    <w:p w:rsidR="00DB7BD5" w:rsidRPr="00744A58" w:rsidRDefault="00DB7BD5" w:rsidP="00DB7BD5">
      <w:pPr>
        <w:pStyle w:val="Sinespaciado"/>
        <w:spacing w:line="276" w:lineRule="auto"/>
        <w:jc w:val="both"/>
        <w:rPr>
          <w:rFonts w:ascii="Arial" w:hAnsi="Arial" w:cs="Arial"/>
          <w:b/>
          <w:bCs/>
          <w:color w:val="000000"/>
          <w:sz w:val="24"/>
          <w:szCs w:val="24"/>
          <w:lang w:val="es"/>
        </w:rPr>
      </w:pPr>
    </w:p>
    <w:p w:rsidR="00DB7BD5" w:rsidRPr="004C6369" w:rsidRDefault="00DB7BD5" w:rsidP="00DB7BD5">
      <w:pPr>
        <w:keepNext/>
        <w:tabs>
          <w:tab w:val="center" w:pos="4419"/>
        </w:tabs>
        <w:autoSpaceDE w:val="0"/>
        <w:autoSpaceDN w:val="0"/>
        <w:adjustRightInd w:val="0"/>
        <w:spacing w:after="0" w:line="240" w:lineRule="auto"/>
        <w:rPr>
          <w:rFonts w:ascii="Arial" w:hAnsi="Arial" w:cs="Arial"/>
          <w:b/>
          <w:bCs/>
          <w:color w:val="000000"/>
          <w:sz w:val="24"/>
          <w:szCs w:val="24"/>
          <w:lang w:val="es"/>
        </w:rPr>
      </w:pPr>
    </w:p>
    <w:p w:rsidR="00DB7BD5" w:rsidRPr="004C6369" w:rsidRDefault="00DB7BD5" w:rsidP="00DB7BD5">
      <w:pPr>
        <w:keepNext/>
        <w:tabs>
          <w:tab w:val="center" w:pos="4419"/>
        </w:tabs>
        <w:autoSpaceDE w:val="0"/>
        <w:autoSpaceDN w:val="0"/>
        <w:adjustRightInd w:val="0"/>
        <w:spacing w:after="0" w:line="240" w:lineRule="auto"/>
        <w:jc w:val="center"/>
        <w:rPr>
          <w:rFonts w:ascii="Arial" w:hAnsi="Arial" w:cs="Arial"/>
          <w:b/>
          <w:bCs/>
          <w:color w:val="000000"/>
          <w:sz w:val="24"/>
          <w:szCs w:val="24"/>
          <w:lang w:val="es"/>
        </w:rPr>
      </w:pPr>
      <w:r w:rsidRPr="004C6369">
        <w:rPr>
          <w:rFonts w:ascii="Arial" w:hAnsi="Arial" w:cs="Arial"/>
          <w:b/>
          <w:bCs/>
          <w:color w:val="000000"/>
          <w:sz w:val="24"/>
          <w:szCs w:val="24"/>
          <w:lang w:val="es"/>
        </w:rPr>
        <w:t>EL CONGRESO DE COLOMBIA</w:t>
      </w:r>
    </w:p>
    <w:p w:rsidR="00DB7BD5" w:rsidRPr="004C6369" w:rsidRDefault="00DB7BD5" w:rsidP="00DB7BD5">
      <w:pPr>
        <w:autoSpaceDE w:val="0"/>
        <w:autoSpaceDN w:val="0"/>
        <w:adjustRightInd w:val="0"/>
        <w:spacing w:after="0" w:line="240" w:lineRule="auto"/>
        <w:jc w:val="center"/>
        <w:rPr>
          <w:rFonts w:ascii="Arial" w:hAnsi="Arial" w:cs="Arial"/>
          <w:b/>
          <w:bCs/>
          <w:color w:val="000000"/>
          <w:sz w:val="24"/>
          <w:szCs w:val="24"/>
          <w:lang w:val="es"/>
        </w:rPr>
      </w:pPr>
    </w:p>
    <w:p w:rsidR="00DB7BD5" w:rsidRDefault="00DB7BD5" w:rsidP="00DB7BD5">
      <w:pPr>
        <w:autoSpaceDE w:val="0"/>
        <w:autoSpaceDN w:val="0"/>
        <w:adjustRightInd w:val="0"/>
        <w:spacing w:after="0" w:line="240" w:lineRule="auto"/>
        <w:jc w:val="center"/>
        <w:rPr>
          <w:rFonts w:ascii="Arial" w:hAnsi="Arial" w:cs="Arial"/>
          <w:b/>
          <w:bCs/>
          <w:color w:val="000000"/>
          <w:sz w:val="24"/>
          <w:szCs w:val="24"/>
          <w:lang w:val="es"/>
        </w:rPr>
      </w:pPr>
      <w:r w:rsidRPr="004C6369">
        <w:rPr>
          <w:rFonts w:ascii="Arial" w:hAnsi="Arial" w:cs="Arial"/>
          <w:b/>
          <w:bCs/>
          <w:color w:val="000000"/>
          <w:sz w:val="24"/>
          <w:szCs w:val="24"/>
          <w:lang w:val="es"/>
        </w:rPr>
        <w:t>DECRETA:</w:t>
      </w:r>
    </w:p>
    <w:p w:rsidR="0089546F" w:rsidRDefault="0089546F" w:rsidP="00F77946">
      <w:pPr>
        <w:ind w:firstLine="283"/>
        <w:jc w:val="both"/>
        <w:textAlignment w:val="center"/>
        <w:rPr>
          <w:rFonts w:ascii="Arial" w:eastAsia="Times New Roman" w:hAnsi="Arial" w:cs="Arial"/>
          <w:b/>
          <w:color w:val="000000"/>
          <w:sz w:val="24"/>
          <w:szCs w:val="24"/>
          <w:lang w:eastAsia="es-CO"/>
        </w:rPr>
      </w:pPr>
    </w:p>
    <w:p w:rsidR="00F7794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color w:val="000000"/>
          <w:sz w:val="24"/>
          <w:szCs w:val="24"/>
          <w:lang w:eastAsia="es-CO"/>
        </w:rPr>
        <w:t>ARTÍCULO 1°.</w:t>
      </w:r>
      <w:r w:rsidRPr="00DB7BD5">
        <w:rPr>
          <w:rFonts w:ascii="Arial" w:eastAsia="Times New Roman" w:hAnsi="Arial" w:cs="Arial"/>
          <w:b/>
          <w:bCs/>
          <w:color w:val="000000"/>
          <w:sz w:val="24"/>
          <w:szCs w:val="24"/>
          <w:lang w:eastAsia="es-CO"/>
        </w:rPr>
        <w:t> </w:t>
      </w:r>
      <w:r w:rsidRPr="00DB7BD5">
        <w:rPr>
          <w:rFonts w:ascii="Arial" w:eastAsia="Times New Roman" w:hAnsi="Arial" w:cs="Arial"/>
          <w:color w:val="000000"/>
          <w:sz w:val="24"/>
          <w:szCs w:val="24"/>
          <w:lang w:eastAsia="es-CO"/>
        </w:rPr>
        <w:t xml:space="preserve">Adiciónese el artículo </w:t>
      </w:r>
      <w:r w:rsidRPr="009E4A3E">
        <w:rPr>
          <w:rFonts w:ascii="Arial" w:eastAsia="Times New Roman" w:hAnsi="Arial" w:cs="Arial"/>
          <w:color w:val="FF0000"/>
          <w:sz w:val="24"/>
          <w:szCs w:val="24"/>
          <w:lang w:eastAsia="es-CO"/>
        </w:rPr>
        <w:t>11</w:t>
      </w:r>
      <w:r w:rsidR="00D535B0">
        <w:rPr>
          <w:rFonts w:ascii="Arial" w:eastAsia="Times New Roman" w:hAnsi="Arial" w:cs="Arial"/>
          <w:color w:val="FF0000"/>
          <w:sz w:val="24"/>
          <w:szCs w:val="24"/>
          <w:lang w:eastAsia="es-CO"/>
        </w:rPr>
        <w:t>6</w:t>
      </w:r>
      <w:r w:rsidRPr="009E4A3E">
        <w:rPr>
          <w:rFonts w:ascii="Arial" w:eastAsia="Times New Roman" w:hAnsi="Arial" w:cs="Arial"/>
          <w:color w:val="FF0000"/>
          <w:sz w:val="24"/>
          <w:szCs w:val="24"/>
          <w:lang w:eastAsia="es-CO"/>
        </w:rPr>
        <w:t>A</w:t>
      </w:r>
      <w:r w:rsidRPr="00DB7BD5">
        <w:rPr>
          <w:rFonts w:ascii="Arial" w:eastAsia="Times New Roman" w:hAnsi="Arial" w:cs="Arial"/>
          <w:color w:val="000000"/>
          <w:sz w:val="24"/>
          <w:szCs w:val="24"/>
          <w:lang w:eastAsia="es-CO"/>
        </w:rPr>
        <w:t xml:space="preserve"> a la Ley 599 de 2000 de la siguiente manera:</w:t>
      </w:r>
    </w:p>
    <w:p w:rsidR="009E4A3E" w:rsidRPr="00DB7BD5" w:rsidRDefault="009E4A3E"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4415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89546F">
        <w:rPr>
          <w:rFonts w:ascii="Arial" w:eastAsia="Times New Roman" w:hAnsi="Arial" w:cs="Arial"/>
          <w:b/>
          <w:bCs/>
          <w:color w:val="000000"/>
          <w:sz w:val="24"/>
          <w:szCs w:val="24"/>
          <w:lang w:eastAsia="es-CO"/>
        </w:rPr>
        <w:t>Artículo</w:t>
      </w:r>
      <w:r w:rsidR="00D535B0">
        <w:rPr>
          <w:rFonts w:ascii="Arial" w:eastAsia="Times New Roman" w:hAnsi="Arial" w:cs="Arial"/>
          <w:b/>
          <w:bCs/>
          <w:color w:val="000000"/>
          <w:sz w:val="24"/>
          <w:szCs w:val="24"/>
          <w:lang w:eastAsia="es-CO"/>
        </w:rPr>
        <w:t xml:space="preserve"> </w:t>
      </w:r>
      <w:r w:rsidRPr="009E4A3E">
        <w:rPr>
          <w:rFonts w:ascii="Arial" w:eastAsia="Times New Roman" w:hAnsi="Arial" w:cs="Arial"/>
          <w:b/>
          <w:bCs/>
          <w:color w:val="FF0000"/>
          <w:sz w:val="24"/>
          <w:szCs w:val="24"/>
          <w:lang w:eastAsia="es-CO"/>
        </w:rPr>
        <w:t>11</w:t>
      </w:r>
      <w:r w:rsidR="00D535B0">
        <w:rPr>
          <w:rFonts w:ascii="Arial" w:eastAsia="Times New Roman" w:hAnsi="Arial" w:cs="Arial"/>
          <w:b/>
          <w:bCs/>
          <w:color w:val="FF0000"/>
          <w:sz w:val="24"/>
          <w:szCs w:val="24"/>
          <w:lang w:eastAsia="es-CO"/>
        </w:rPr>
        <w:t>6</w:t>
      </w:r>
      <w:r w:rsidRPr="009E4A3E">
        <w:rPr>
          <w:rFonts w:ascii="Arial" w:eastAsia="Times New Roman" w:hAnsi="Arial" w:cs="Arial"/>
          <w:b/>
          <w:bCs/>
          <w:color w:val="FF0000"/>
          <w:sz w:val="24"/>
          <w:szCs w:val="24"/>
          <w:lang w:eastAsia="es-CO"/>
        </w:rPr>
        <w:t>A.</w:t>
      </w:r>
      <w:r w:rsidRPr="0089546F">
        <w:rPr>
          <w:rFonts w:ascii="Arial" w:eastAsia="Times New Roman" w:hAnsi="Arial" w:cs="Arial"/>
          <w:color w:val="000000"/>
          <w:sz w:val="24"/>
          <w:szCs w:val="24"/>
          <w:lang w:eastAsia="es-CO"/>
        </w:rPr>
        <w:t> </w:t>
      </w:r>
      <w:r w:rsidRPr="0089546F">
        <w:rPr>
          <w:rFonts w:ascii="Arial" w:eastAsia="Times New Roman" w:hAnsi="Arial" w:cs="Arial"/>
          <w:iCs/>
          <w:color w:val="000000"/>
          <w:sz w:val="24"/>
          <w:szCs w:val="24"/>
          <w:lang w:eastAsia="es-CO"/>
        </w:rPr>
        <w:t>Lesiones con agentes químicos, ácido y/o sustancias similares.</w:t>
      </w:r>
      <w:r w:rsidR="00D535B0">
        <w:rPr>
          <w:rFonts w:ascii="Arial" w:eastAsia="Times New Roman" w:hAnsi="Arial" w:cs="Arial"/>
          <w:iCs/>
          <w:color w:val="000000"/>
          <w:sz w:val="24"/>
          <w:szCs w:val="24"/>
          <w:lang w:eastAsia="es-CO"/>
        </w:rPr>
        <w:t xml:space="preserve"> </w:t>
      </w:r>
      <w:r w:rsidRPr="00D44156">
        <w:rPr>
          <w:rFonts w:ascii="Arial" w:eastAsia="Times New Roman" w:hAnsi="Arial" w:cs="Arial"/>
          <w:color w:val="000000"/>
          <w:sz w:val="24"/>
          <w:szCs w:val="24"/>
          <w:lang w:eastAsia="es-CO"/>
        </w:rPr>
        <w:t xml:space="preserve">El que cause a otro daño temporal o semipermanente en el cuerpo o en la salud, usando para ello cualquier tipo de agente químico, </w:t>
      </w:r>
      <w:r w:rsidR="00D535B0">
        <w:rPr>
          <w:rFonts w:ascii="Arial" w:eastAsia="Times New Roman" w:hAnsi="Arial" w:cs="Arial"/>
          <w:color w:val="000000"/>
          <w:sz w:val="24"/>
          <w:szCs w:val="24"/>
          <w:lang w:eastAsia="es-CO"/>
        </w:rPr>
        <w:t xml:space="preserve">ácidos, </w:t>
      </w:r>
      <w:r w:rsidRPr="00D44156">
        <w:rPr>
          <w:rFonts w:ascii="Arial" w:eastAsia="Times New Roman" w:hAnsi="Arial" w:cs="Arial"/>
          <w:color w:val="000000"/>
          <w:sz w:val="24"/>
          <w:szCs w:val="24"/>
          <w:lang w:eastAsia="es-CO"/>
        </w:rPr>
        <w:t>álcalis, sustancias similares o corrosivas que generen perjuicio o destrucción al entrar en contacto con el tejido humano, incurrirá en pena de prisión de ciento cincuenta (150) meses a doscientos cuarenta (240) meses y multa de ciento veinte (120) a doscientos cincuenta (250) salarios mínimos legales mensuales vigentes.</w:t>
      </w:r>
    </w:p>
    <w:p w:rsidR="0011553A" w:rsidRDefault="0011553A"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4415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44156">
        <w:rPr>
          <w:rFonts w:ascii="Arial" w:eastAsia="Times New Roman" w:hAnsi="Arial" w:cs="Arial"/>
          <w:color w:val="000000"/>
          <w:sz w:val="24"/>
          <w:szCs w:val="24"/>
          <w:lang w:eastAsia="es-CO"/>
        </w:rPr>
        <w:t>Cuando la conducta cause deform</w:t>
      </w:r>
      <w:r w:rsidR="00D535B0">
        <w:rPr>
          <w:rFonts w:ascii="Arial" w:eastAsia="Times New Roman" w:hAnsi="Arial" w:cs="Arial"/>
          <w:color w:val="000000"/>
          <w:sz w:val="24"/>
          <w:szCs w:val="24"/>
          <w:lang w:eastAsia="es-CO"/>
        </w:rPr>
        <w:t xml:space="preserve">idad o daño permanente, </w:t>
      </w:r>
      <w:r w:rsidRPr="00D44156">
        <w:rPr>
          <w:rFonts w:ascii="Arial" w:eastAsia="Times New Roman" w:hAnsi="Arial" w:cs="Arial"/>
          <w:color w:val="000000"/>
          <w:sz w:val="24"/>
          <w:szCs w:val="24"/>
          <w:lang w:eastAsia="es-CO"/>
        </w:rPr>
        <w:t>pérdida parcial o total, funcional o anatómica, la pena será de doscientos cincuenta y un (251) meses a trescientos sesenta (360) meses de prisión y multa de mil (1000) a tres mil (3000) salarios mínimos legales mensuales vigentes.</w:t>
      </w:r>
    </w:p>
    <w:p w:rsidR="00F77946" w:rsidRPr="00D4415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4415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44156">
        <w:rPr>
          <w:rFonts w:ascii="Arial" w:eastAsia="Times New Roman" w:hAnsi="Arial" w:cs="Arial"/>
          <w:color w:val="000000"/>
          <w:sz w:val="24"/>
          <w:szCs w:val="24"/>
          <w:lang w:eastAsia="es-CO"/>
        </w:rPr>
        <w:t>Cuando con la conducta se cause daño que afecte parte del rostro o del cuello de la víctima o la víctima sea menor de edad, la pena se aumentará d</w:t>
      </w:r>
      <w:r w:rsidR="001D5982">
        <w:rPr>
          <w:rFonts w:ascii="Arial" w:eastAsia="Times New Roman" w:hAnsi="Arial" w:cs="Arial"/>
          <w:color w:val="000000"/>
          <w:sz w:val="24"/>
          <w:szCs w:val="24"/>
          <w:lang w:eastAsia="es-CO"/>
        </w:rPr>
        <w:t>e una tercera parte a la mitad.</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color w:val="000000"/>
          <w:sz w:val="24"/>
          <w:szCs w:val="24"/>
          <w:lang w:eastAsia="es-CO"/>
        </w:rPr>
        <w:t>ARTÍCULO 2°.</w:t>
      </w:r>
      <w:r w:rsidRPr="00DB7BD5">
        <w:rPr>
          <w:rFonts w:ascii="Arial" w:eastAsia="Times New Roman" w:hAnsi="Arial" w:cs="Arial"/>
          <w:color w:val="000000"/>
          <w:sz w:val="24"/>
          <w:szCs w:val="24"/>
          <w:lang w:eastAsia="es-CO"/>
        </w:rPr>
        <w:t xml:space="preserve"> Elimínese el tercer y cuarto inciso del artículo 113 de la Ley 599 de 2000. </w:t>
      </w:r>
    </w:p>
    <w:p w:rsidR="00F77946" w:rsidRPr="00DB7BD5" w:rsidRDefault="00F77946"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1D5982" w:rsidRDefault="001D5982"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1D5982" w:rsidRDefault="001D5982"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1D5982" w:rsidRDefault="001D5982"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bCs/>
          <w:color w:val="000000"/>
          <w:sz w:val="24"/>
          <w:szCs w:val="24"/>
          <w:lang w:eastAsia="es-CO"/>
        </w:rPr>
        <w:lastRenderedPageBreak/>
        <w:t>ARTÍCULO 3°</w:t>
      </w:r>
      <w:r w:rsidRPr="00DB7BD5">
        <w:rPr>
          <w:rFonts w:ascii="Arial" w:eastAsia="Times New Roman" w:hAnsi="Arial" w:cs="Arial"/>
          <w:b/>
          <w:color w:val="000000"/>
          <w:sz w:val="24"/>
          <w:szCs w:val="24"/>
          <w:lang w:eastAsia="es-CO"/>
        </w:rPr>
        <w:t>.</w:t>
      </w:r>
      <w:r w:rsidRPr="00DB7BD5">
        <w:rPr>
          <w:rFonts w:ascii="Arial" w:eastAsia="Times New Roman" w:hAnsi="Arial" w:cs="Arial"/>
          <w:color w:val="000000"/>
          <w:sz w:val="24"/>
          <w:szCs w:val="24"/>
          <w:lang w:eastAsia="es-CO"/>
        </w:rPr>
        <w:t> </w:t>
      </w:r>
      <w:r w:rsidRPr="00DB7BD5">
        <w:rPr>
          <w:rFonts w:ascii="Arial" w:eastAsia="Times New Roman" w:hAnsi="Arial" w:cs="Arial"/>
          <w:iCs/>
          <w:color w:val="000000"/>
          <w:sz w:val="24"/>
          <w:szCs w:val="24"/>
          <w:lang w:eastAsia="es-CO"/>
        </w:rPr>
        <w:t>Adiciónese el numeral 12 al artículo 104 de la Ley 599 de 2000, así:</w:t>
      </w:r>
    </w:p>
    <w:p w:rsidR="001D5982" w:rsidRDefault="001D5982" w:rsidP="0011553A">
      <w:pPr>
        <w:spacing w:after="0" w:line="240" w:lineRule="auto"/>
        <w:ind w:firstLine="283"/>
        <w:jc w:val="both"/>
        <w:textAlignment w:val="center"/>
        <w:rPr>
          <w:rFonts w:ascii="Arial" w:eastAsia="Times New Roman" w:hAnsi="Arial" w:cs="Arial"/>
          <w:color w:val="000000"/>
          <w:sz w:val="24"/>
          <w:szCs w:val="24"/>
          <w:lang w:eastAsia="es-CO"/>
        </w:rPr>
      </w:pPr>
    </w:p>
    <w:p w:rsidR="001D5982" w:rsidRDefault="001D5982" w:rsidP="001D5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Pr>
          <w:rFonts w:ascii="Arial" w:eastAsia="MS Gothic" w:hAnsi="Arial" w:cs="Arial"/>
          <w:b/>
          <w:bCs/>
          <w:sz w:val="24"/>
          <w:szCs w:val="24"/>
          <w:lang w:val="es-ES"/>
        </w:rPr>
        <w:t>(…)</w:t>
      </w:r>
    </w:p>
    <w:p w:rsidR="001D5982" w:rsidRDefault="001D5982"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11553A"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bookmarkStart w:id="0" w:name="_GoBack"/>
      <w:bookmarkEnd w:id="0"/>
      <w:r w:rsidRPr="0011553A">
        <w:rPr>
          <w:rFonts w:ascii="Arial" w:eastAsia="Times New Roman" w:hAnsi="Arial" w:cs="Arial"/>
          <w:color w:val="000000"/>
          <w:sz w:val="24"/>
          <w:szCs w:val="24"/>
          <w:lang w:eastAsia="es-CO"/>
        </w:rPr>
        <w:t>12. Si se cometiere usando cualquier tipo de agente químico; álcalis; sustancias similares o corrosivas que generen perjuicio o destrucción al entrar en contacto con el tejido humano.</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color w:val="000000"/>
          <w:sz w:val="24"/>
          <w:szCs w:val="24"/>
          <w:lang w:eastAsia="es-CO"/>
        </w:rPr>
        <w:t>ARTÍCULO 4°.</w:t>
      </w:r>
      <w:r w:rsidRPr="00DB7BD5">
        <w:rPr>
          <w:rFonts w:ascii="Arial" w:eastAsia="Times New Roman" w:hAnsi="Arial" w:cs="Arial"/>
          <w:b/>
          <w:bCs/>
          <w:color w:val="000000"/>
          <w:sz w:val="24"/>
          <w:szCs w:val="24"/>
          <w:lang w:eastAsia="es-CO"/>
        </w:rPr>
        <w:t> </w:t>
      </w:r>
      <w:r w:rsidRPr="00DB7BD5">
        <w:rPr>
          <w:rFonts w:ascii="Arial" w:eastAsia="Times New Roman" w:hAnsi="Arial" w:cs="Arial"/>
          <w:color w:val="000000"/>
          <w:sz w:val="24"/>
          <w:szCs w:val="24"/>
          <w:lang w:eastAsia="es-CO"/>
        </w:rPr>
        <w:t>Modifíquese el artículo 359 de la Ley 599 de 2000, de la siguiente manera:</w:t>
      </w:r>
    </w:p>
    <w:p w:rsidR="00F77946" w:rsidRPr="000435A1" w:rsidRDefault="00F77946"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F77946" w:rsidRPr="000435A1"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0435A1">
        <w:rPr>
          <w:rFonts w:ascii="Arial" w:eastAsia="Times New Roman" w:hAnsi="Arial" w:cs="Arial"/>
          <w:b/>
          <w:bCs/>
          <w:color w:val="000000"/>
          <w:sz w:val="24"/>
          <w:szCs w:val="24"/>
          <w:lang w:eastAsia="es-CO"/>
        </w:rPr>
        <w:t>Artículo 359. </w:t>
      </w:r>
      <w:r w:rsidRPr="000435A1">
        <w:rPr>
          <w:rFonts w:ascii="Arial" w:eastAsia="Times New Roman" w:hAnsi="Arial" w:cs="Arial"/>
          <w:iCs/>
          <w:color w:val="000000"/>
          <w:sz w:val="24"/>
          <w:szCs w:val="24"/>
          <w:lang w:eastAsia="es-CO"/>
        </w:rPr>
        <w:t>Empleo o lanzamiento de sustancias u objetos peligrosos</w:t>
      </w:r>
      <w:r w:rsidRPr="000435A1">
        <w:rPr>
          <w:rFonts w:ascii="Arial" w:eastAsia="Times New Roman" w:hAnsi="Arial" w:cs="Arial"/>
          <w:color w:val="000000"/>
          <w:sz w:val="24"/>
          <w:szCs w:val="24"/>
          <w:lang w:eastAsia="es-CO"/>
        </w:rPr>
        <w:t>. El que emplee, envíe, remita o lance contra persona, edificio o medio de locomoción, o en lugar público o abierto al público, sustancia u objeto de los mencionados en el artículo precedente, </w:t>
      </w:r>
      <w:r w:rsidR="00DF1991">
        <w:rPr>
          <w:rFonts w:ascii="Arial" w:eastAsia="Times New Roman" w:hAnsi="Arial" w:cs="Arial"/>
          <w:color w:val="000000"/>
          <w:sz w:val="24"/>
          <w:szCs w:val="24"/>
          <w:lang w:eastAsia="es-CO"/>
        </w:rPr>
        <w:t xml:space="preserve">incurrirá en prisión de </w:t>
      </w:r>
      <w:proofErr w:type="spellStart"/>
      <w:r w:rsidR="00DF1991">
        <w:rPr>
          <w:rFonts w:ascii="Arial" w:eastAsia="Times New Roman" w:hAnsi="Arial" w:cs="Arial"/>
          <w:color w:val="000000"/>
          <w:sz w:val="24"/>
          <w:szCs w:val="24"/>
          <w:lang w:eastAsia="es-CO"/>
        </w:rPr>
        <w:t>dieciseis</w:t>
      </w:r>
      <w:proofErr w:type="spellEnd"/>
      <w:r w:rsidR="00DF1991">
        <w:rPr>
          <w:rFonts w:ascii="Arial" w:eastAsia="Times New Roman" w:hAnsi="Arial" w:cs="Arial"/>
          <w:color w:val="000000"/>
          <w:sz w:val="24"/>
          <w:szCs w:val="24"/>
          <w:lang w:eastAsia="es-CO"/>
        </w:rPr>
        <w:t xml:space="preserve"> (16) a noventa (90) meses, siempre que la conducta </w:t>
      </w:r>
      <w:r w:rsidRPr="000435A1">
        <w:rPr>
          <w:rFonts w:ascii="Arial" w:eastAsia="Times New Roman" w:hAnsi="Arial" w:cs="Arial"/>
          <w:color w:val="000000"/>
          <w:sz w:val="24"/>
          <w:szCs w:val="24"/>
          <w:lang w:eastAsia="es-CO"/>
        </w:rPr>
        <w:t>no constituya otro delito.</w:t>
      </w:r>
    </w:p>
    <w:p w:rsidR="00F77946" w:rsidRPr="000435A1"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C83B35" w:rsidRDefault="00C83B35" w:rsidP="0011553A">
      <w:pPr>
        <w:spacing w:after="0" w:line="240" w:lineRule="auto"/>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Si la conducta se comete al interior de un escenario deportivo o cultural, además se incurrirá en multa de cinco (5) a diez (10) salarios mínimos legales mensuales vigentes y en prohibición de acudir al escenario cultural o deportivo por una periodo entre seis (6) meses, y tres (3) años.</w:t>
      </w:r>
    </w:p>
    <w:p w:rsidR="00C83B35" w:rsidRDefault="00C83B35"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0435A1">
        <w:rPr>
          <w:rFonts w:ascii="Arial" w:eastAsia="Times New Roman" w:hAnsi="Arial" w:cs="Arial"/>
          <w:color w:val="000000"/>
          <w:sz w:val="24"/>
          <w:szCs w:val="24"/>
          <w:lang w:eastAsia="es-CO"/>
        </w:rPr>
        <w:t xml:space="preserve">La pena será de </w:t>
      </w:r>
      <w:r w:rsidR="00A60354">
        <w:rPr>
          <w:rFonts w:ascii="Arial" w:eastAsia="Times New Roman" w:hAnsi="Arial" w:cs="Arial"/>
          <w:color w:val="000000"/>
          <w:sz w:val="24"/>
          <w:szCs w:val="24"/>
          <w:lang w:eastAsia="es-CO"/>
        </w:rPr>
        <w:t xml:space="preserve">ochenta </w:t>
      </w:r>
      <w:r w:rsidRPr="000435A1">
        <w:rPr>
          <w:rFonts w:ascii="Arial" w:eastAsia="Times New Roman" w:hAnsi="Arial" w:cs="Arial"/>
          <w:color w:val="000000"/>
          <w:sz w:val="24"/>
          <w:szCs w:val="24"/>
          <w:lang w:eastAsia="es-CO"/>
        </w:rPr>
        <w:t>(</w:t>
      </w:r>
      <w:r w:rsidR="00A60354">
        <w:rPr>
          <w:rFonts w:ascii="Arial" w:eastAsia="Times New Roman" w:hAnsi="Arial" w:cs="Arial"/>
          <w:color w:val="000000"/>
          <w:sz w:val="24"/>
          <w:szCs w:val="24"/>
          <w:lang w:eastAsia="es-CO"/>
        </w:rPr>
        <w:t>80</w:t>
      </w:r>
      <w:r w:rsidRPr="000435A1">
        <w:rPr>
          <w:rFonts w:ascii="Arial" w:eastAsia="Times New Roman" w:hAnsi="Arial" w:cs="Arial"/>
          <w:color w:val="000000"/>
          <w:sz w:val="24"/>
          <w:szCs w:val="24"/>
          <w:lang w:eastAsia="es-CO"/>
        </w:rPr>
        <w:t xml:space="preserve">) a </w:t>
      </w:r>
      <w:r w:rsidR="00A60354">
        <w:rPr>
          <w:rFonts w:ascii="Arial" w:eastAsia="Times New Roman" w:hAnsi="Arial" w:cs="Arial"/>
          <w:color w:val="000000"/>
          <w:sz w:val="24"/>
          <w:szCs w:val="24"/>
          <w:lang w:eastAsia="es-CO"/>
        </w:rPr>
        <w:t xml:space="preserve">ciento ochenta </w:t>
      </w:r>
      <w:r w:rsidRPr="000435A1">
        <w:rPr>
          <w:rFonts w:ascii="Arial" w:eastAsia="Times New Roman" w:hAnsi="Arial" w:cs="Arial"/>
          <w:color w:val="000000"/>
          <w:sz w:val="24"/>
          <w:szCs w:val="24"/>
          <w:lang w:eastAsia="es-CO"/>
        </w:rPr>
        <w:t>(1</w:t>
      </w:r>
      <w:r w:rsidR="00A60354">
        <w:rPr>
          <w:rFonts w:ascii="Arial" w:eastAsia="Times New Roman" w:hAnsi="Arial" w:cs="Arial"/>
          <w:color w:val="000000"/>
          <w:sz w:val="24"/>
          <w:szCs w:val="24"/>
          <w:lang w:eastAsia="es-CO"/>
        </w:rPr>
        <w:t>8</w:t>
      </w:r>
      <w:r w:rsidRPr="000435A1">
        <w:rPr>
          <w:rFonts w:ascii="Arial" w:eastAsia="Times New Roman" w:hAnsi="Arial" w:cs="Arial"/>
          <w:color w:val="000000"/>
          <w:sz w:val="24"/>
          <w:szCs w:val="24"/>
          <w:lang w:eastAsia="es-CO"/>
        </w:rPr>
        <w:t xml:space="preserve">0) </w:t>
      </w:r>
      <w:r w:rsidR="00A60354">
        <w:rPr>
          <w:rFonts w:ascii="Arial" w:eastAsia="Times New Roman" w:hAnsi="Arial" w:cs="Arial"/>
          <w:color w:val="000000"/>
          <w:sz w:val="24"/>
          <w:szCs w:val="24"/>
          <w:lang w:eastAsia="es-CO"/>
        </w:rPr>
        <w:t xml:space="preserve">meses </w:t>
      </w:r>
      <w:r w:rsidRPr="000435A1">
        <w:rPr>
          <w:rFonts w:ascii="Arial" w:eastAsia="Times New Roman" w:hAnsi="Arial" w:cs="Arial"/>
          <w:color w:val="000000"/>
          <w:sz w:val="24"/>
          <w:szCs w:val="24"/>
          <w:lang w:eastAsia="es-CO"/>
        </w:rPr>
        <w:t>de prisión y multa de cien</w:t>
      </w:r>
      <w:r w:rsidR="00A60354">
        <w:rPr>
          <w:rFonts w:ascii="Arial" w:eastAsia="Times New Roman" w:hAnsi="Arial" w:cs="Arial"/>
          <w:color w:val="000000"/>
          <w:sz w:val="24"/>
          <w:szCs w:val="24"/>
          <w:lang w:eastAsia="es-CO"/>
        </w:rPr>
        <w:t>to treinta y cuatro</w:t>
      </w:r>
      <w:r w:rsidRPr="000435A1">
        <w:rPr>
          <w:rFonts w:ascii="Arial" w:eastAsia="Times New Roman" w:hAnsi="Arial" w:cs="Arial"/>
          <w:color w:val="000000"/>
          <w:sz w:val="24"/>
          <w:szCs w:val="24"/>
          <w:lang w:eastAsia="es-CO"/>
        </w:rPr>
        <w:t xml:space="preserve"> (1</w:t>
      </w:r>
      <w:r w:rsidR="00A60354">
        <w:rPr>
          <w:rFonts w:ascii="Arial" w:eastAsia="Times New Roman" w:hAnsi="Arial" w:cs="Arial"/>
          <w:color w:val="000000"/>
          <w:sz w:val="24"/>
          <w:szCs w:val="24"/>
          <w:lang w:eastAsia="es-CO"/>
        </w:rPr>
        <w:t>34</w:t>
      </w:r>
      <w:r w:rsidRPr="000435A1">
        <w:rPr>
          <w:rFonts w:ascii="Arial" w:eastAsia="Times New Roman" w:hAnsi="Arial" w:cs="Arial"/>
          <w:color w:val="000000"/>
          <w:sz w:val="24"/>
          <w:szCs w:val="24"/>
          <w:lang w:eastAsia="es-CO"/>
        </w:rPr>
        <w:t xml:space="preserve">) a </w:t>
      </w:r>
      <w:r w:rsidR="00A60354">
        <w:rPr>
          <w:rFonts w:ascii="Arial" w:eastAsia="Times New Roman" w:hAnsi="Arial" w:cs="Arial"/>
          <w:color w:val="000000"/>
          <w:sz w:val="24"/>
          <w:szCs w:val="24"/>
          <w:lang w:eastAsia="es-CO"/>
        </w:rPr>
        <w:t xml:space="preserve">setecientos cincuenta </w:t>
      </w:r>
      <w:r w:rsidRPr="000435A1">
        <w:rPr>
          <w:rFonts w:ascii="Arial" w:eastAsia="Times New Roman" w:hAnsi="Arial" w:cs="Arial"/>
          <w:color w:val="000000"/>
          <w:sz w:val="24"/>
          <w:szCs w:val="24"/>
          <w:lang w:eastAsia="es-CO"/>
        </w:rPr>
        <w:t>(</w:t>
      </w:r>
      <w:r w:rsidR="00A60354">
        <w:rPr>
          <w:rFonts w:ascii="Arial" w:eastAsia="Times New Roman" w:hAnsi="Arial" w:cs="Arial"/>
          <w:color w:val="000000"/>
          <w:sz w:val="24"/>
          <w:szCs w:val="24"/>
          <w:lang w:eastAsia="es-CO"/>
        </w:rPr>
        <w:t>7</w:t>
      </w:r>
      <w:r w:rsidRPr="000435A1">
        <w:rPr>
          <w:rFonts w:ascii="Arial" w:eastAsia="Times New Roman" w:hAnsi="Arial" w:cs="Arial"/>
          <w:color w:val="000000"/>
          <w:sz w:val="24"/>
          <w:szCs w:val="24"/>
          <w:lang w:eastAsia="es-CO"/>
        </w:rPr>
        <w:t>50) salarios mínimos legales mensuales vigentes, cuando la conducta se realice con fines terroristas</w:t>
      </w:r>
      <w:r w:rsidR="00A60354">
        <w:rPr>
          <w:rFonts w:ascii="Arial" w:eastAsia="Times New Roman" w:hAnsi="Arial" w:cs="Arial"/>
          <w:color w:val="000000"/>
          <w:sz w:val="24"/>
          <w:szCs w:val="24"/>
          <w:lang w:eastAsia="es-CO"/>
        </w:rPr>
        <w:t xml:space="preserve"> o en contra de miembros de la fuerza pública</w:t>
      </w:r>
      <w:r w:rsidRPr="000435A1">
        <w:rPr>
          <w:rFonts w:ascii="Arial" w:eastAsia="Times New Roman" w:hAnsi="Arial" w:cs="Arial"/>
          <w:color w:val="000000"/>
          <w:sz w:val="24"/>
          <w:szCs w:val="24"/>
          <w:lang w:eastAsia="es-CO"/>
        </w:rPr>
        <w:t>.</w:t>
      </w:r>
    </w:p>
    <w:p w:rsidR="00A60354" w:rsidRDefault="00A60354" w:rsidP="0011553A">
      <w:pPr>
        <w:spacing w:after="0" w:line="240" w:lineRule="auto"/>
        <w:ind w:firstLine="283"/>
        <w:jc w:val="both"/>
        <w:textAlignment w:val="center"/>
        <w:rPr>
          <w:rFonts w:ascii="Arial" w:eastAsia="Times New Roman" w:hAnsi="Arial" w:cs="Arial"/>
          <w:color w:val="000000"/>
          <w:sz w:val="24"/>
          <w:szCs w:val="24"/>
          <w:lang w:eastAsia="es-CO"/>
        </w:rPr>
      </w:pPr>
    </w:p>
    <w:p w:rsidR="00A60354" w:rsidRDefault="00A60354" w:rsidP="0011553A">
      <w:pPr>
        <w:spacing w:after="0" w:line="240" w:lineRule="auto"/>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La pena se aumentará de una tercera parte a la mitad cuando el objeto lanzado corresponda a artefactos explosivos, elementos incendiarios, o de cualquier tipo de agente químico, ácidos, álcalis, sustancias similares o corrosivas que generen perjuicio o destrucción al entrar en contacto con el tejido humano, que pongan en riesgo la vida, la integridad personal o los bienes.</w:t>
      </w:r>
    </w:p>
    <w:p w:rsidR="00DE68EB" w:rsidRDefault="00DE68EB" w:rsidP="0011553A">
      <w:pPr>
        <w:spacing w:after="0" w:line="240" w:lineRule="auto"/>
        <w:ind w:firstLine="283"/>
        <w:jc w:val="both"/>
        <w:textAlignment w:val="center"/>
        <w:rPr>
          <w:rFonts w:ascii="Arial" w:eastAsia="Times New Roman" w:hAnsi="Arial" w:cs="Arial"/>
          <w:color w:val="000000"/>
          <w:sz w:val="24"/>
          <w:szCs w:val="24"/>
          <w:lang w:eastAsia="es-CO"/>
        </w:rPr>
      </w:pPr>
    </w:p>
    <w:p w:rsidR="00DE68EB" w:rsidRPr="000435A1" w:rsidRDefault="00DE68EB" w:rsidP="0011553A">
      <w:pPr>
        <w:spacing w:after="0" w:line="240" w:lineRule="auto"/>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El que porte o ingrese armas blancas u objetos peligrosos al interior de un escenario deportivo o cultural incurrirá en multa de cinco (5) a diez (10) salarios mínimos legales mensuales vigentes y prohibición de acudir al escenario deportivo o cultural de seis (6) meses a tres (3) años.</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color w:val="000000"/>
          <w:sz w:val="24"/>
          <w:szCs w:val="24"/>
          <w:lang w:eastAsia="es-CO"/>
        </w:rPr>
        <w:lastRenderedPageBreak/>
        <w:t>ARTÍCULO 5°.</w:t>
      </w:r>
      <w:r w:rsidRPr="00DB7BD5">
        <w:rPr>
          <w:rFonts w:ascii="Arial" w:eastAsia="Times New Roman" w:hAnsi="Arial" w:cs="Arial"/>
          <w:b/>
          <w:bCs/>
          <w:color w:val="000000"/>
          <w:sz w:val="24"/>
          <w:szCs w:val="24"/>
          <w:lang w:eastAsia="es-CO"/>
        </w:rPr>
        <w:t> </w:t>
      </w:r>
      <w:r w:rsidRPr="00DB7BD5">
        <w:rPr>
          <w:rFonts w:ascii="Arial" w:eastAsia="Times New Roman" w:hAnsi="Arial" w:cs="Arial"/>
          <w:color w:val="000000"/>
          <w:sz w:val="24"/>
          <w:szCs w:val="24"/>
          <w:lang w:eastAsia="es-CO"/>
        </w:rPr>
        <w:t>Modifíquese el segundo inciso del artículo 68A de la Ley 599 de 2000, el cual quedará así:</w:t>
      </w:r>
    </w:p>
    <w:p w:rsidR="00F77946" w:rsidRPr="00DB7BD5" w:rsidRDefault="00F77946"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F77946" w:rsidRPr="000435A1"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0435A1">
        <w:rPr>
          <w:rFonts w:ascii="Arial" w:eastAsia="Times New Roman" w:hAnsi="Arial" w:cs="Arial"/>
          <w:b/>
          <w:bCs/>
          <w:color w:val="000000"/>
          <w:sz w:val="24"/>
          <w:szCs w:val="24"/>
          <w:lang w:eastAsia="es-CO"/>
        </w:rPr>
        <w:t>Artículo 68A. </w:t>
      </w:r>
      <w:r w:rsidRPr="000435A1">
        <w:rPr>
          <w:rFonts w:ascii="Arial" w:eastAsia="Times New Roman" w:hAnsi="Arial" w:cs="Arial"/>
          <w:iCs/>
          <w:color w:val="000000"/>
          <w:sz w:val="24"/>
          <w:szCs w:val="24"/>
          <w:lang w:eastAsia="es-CO"/>
        </w:rPr>
        <w:t>Exclusión de los beneficios y subrogados penales</w:t>
      </w:r>
      <w:r w:rsidRPr="000435A1">
        <w:rPr>
          <w:rFonts w:ascii="Arial" w:eastAsia="Times New Roman" w:hAnsi="Arial" w:cs="Arial"/>
          <w:color w:val="000000"/>
          <w:sz w:val="24"/>
          <w:szCs w:val="24"/>
          <w:lang w:eastAsia="es-CO"/>
        </w:rPr>
        <w:t>.</w:t>
      </w:r>
      <w:r w:rsidRPr="000435A1">
        <w:rPr>
          <w:rFonts w:ascii="Arial" w:eastAsia="Times New Roman" w:hAnsi="Arial" w:cs="Arial"/>
          <w:b/>
          <w:bCs/>
          <w:color w:val="000000"/>
          <w:sz w:val="24"/>
          <w:szCs w:val="24"/>
          <w:lang w:eastAsia="es-CO"/>
        </w:rPr>
        <w:t> </w:t>
      </w:r>
      <w:r w:rsidRPr="000435A1">
        <w:rPr>
          <w:rFonts w:ascii="Arial" w:eastAsia="Times New Roman" w:hAnsi="Arial" w:cs="Arial"/>
          <w:color w:val="000000"/>
          <w:sz w:val="24"/>
          <w:szCs w:val="24"/>
          <w:lang w:eastAsia="es-CO"/>
        </w:rPr>
        <w:t>No se concederán la suspensión condicional de la ejecución de la pena</w:t>
      </w:r>
      <w:r w:rsidR="00491310">
        <w:rPr>
          <w:rFonts w:ascii="Arial" w:eastAsia="Times New Roman" w:hAnsi="Arial" w:cs="Arial"/>
          <w:color w:val="000000"/>
          <w:sz w:val="24"/>
          <w:szCs w:val="24"/>
          <w:lang w:eastAsia="es-CO"/>
        </w:rPr>
        <w:t>;</w:t>
      </w:r>
      <w:r w:rsidRPr="000435A1">
        <w:rPr>
          <w:rFonts w:ascii="Arial" w:eastAsia="Times New Roman" w:hAnsi="Arial" w:cs="Arial"/>
          <w:color w:val="000000"/>
          <w:sz w:val="24"/>
          <w:szCs w:val="24"/>
          <w:lang w:eastAsia="es-CO"/>
        </w:rPr>
        <w:t xml:space="preserve">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rsidR="00F77946" w:rsidRPr="000435A1"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0435A1">
        <w:rPr>
          <w:rFonts w:ascii="Arial" w:eastAsia="Times New Roman" w:hAnsi="Arial" w:cs="Arial"/>
          <w:color w:val="000000"/>
          <w:sz w:val="24"/>
          <w:szCs w:val="24"/>
          <w:lang w:eastAsia="es-CO"/>
        </w:rPr>
        <w:t>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extorsión; </w:t>
      </w:r>
      <w:r w:rsidRPr="000435A1">
        <w:rPr>
          <w:rFonts w:ascii="Arial" w:eastAsia="Times New Roman" w:hAnsi="Arial" w:cs="Arial"/>
          <w:bCs/>
          <w:color w:val="000000"/>
          <w:sz w:val="24"/>
          <w:szCs w:val="24"/>
          <w:lang w:eastAsia="es-CO"/>
        </w:rPr>
        <w:t xml:space="preserve">homicidio agravado </w:t>
      </w:r>
      <w:r w:rsidR="006F0869">
        <w:rPr>
          <w:rFonts w:ascii="Arial" w:eastAsia="Times New Roman" w:hAnsi="Arial" w:cs="Arial"/>
          <w:bCs/>
          <w:color w:val="000000"/>
          <w:sz w:val="24"/>
          <w:szCs w:val="24"/>
          <w:lang w:eastAsia="es-CO"/>
        </w:rPr>
        <w:t xml:space="preserve">o lesiones causadas </w:t>
      </w:r>
      <w:r w:rsidRPr="000435A1">
        <w:rPr>
          <w:rFonts w:ascii="Arial" w:eastAsia="Times New Roman" w:hAnsi="Arial" w:cs="Arial"/>
          <w:bCs/>
          <w:color w:val="000000"/>
          <w:sz w:val="24"/>
          <w:szCs w:val="24"/>
          <w:lang w:eastAsia="es-CO"/>
        </w:rPr>
        <w:t xml:space="preserve">mediante utilización de cualquier tipo de agente químico, </w:t>
      </w:r>
      <w:r w:rsidR="006F0869">
        <w:rPr>
          <w:rFonts w:ascii="Arial" w:eastAsia="Times New Roman" w:hAnsi="Arial" w:cs="Arial"/>
          <w:bCs/>
          <w:color w:val="000000"/>
          <w:sz w:val="24"/>
          <w:szCs w:val="24"/>
          <w:lang w:eastAsia="es-CO"/>
        </w:rPr>
        <w:t xml:space="preserve">ácidos, </w:t>
      </w:r>
      <w:r w:rsidRPr="000435A1">
        <w:rPr>
          <w:rFonts w:ascii="Arial" w:eastAsia="Times New Roman" w:hAnsi="Arial" w:cs="Arial"/>
          <w:bCs/>
          <w:color w:val="000000"/>
          <w:sz w:val="24"/>
          <w:szCs w:val="24"/>
          <w:lang w:eastAsia="es-CO"/>
        </w:rPr>
        <w:t>álcalis, sustancias similares o corrosivas que generen perjuicio o destrucción al entrar en contacto con el tejido humano;</w:t>
      </w:r>
      <w:r w:rsidRPr="000435A1">
        <w:rPr>
          <w:rFonts w:ascii="Arial" w:eastAsia="Times New Roman" w:hAnsi="Arial" w:cs="Arial"/>
          <w:color w:val="000000"/>
          <w:sz w:val="24"/>
          <w:szCs w:val="24"/>
          <w:lang w:eastAsia="es-CO"/>
        </w:rPr>
        <w:t xml:space="preserve">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w:t>
      </w:r>
      <w:proofErr w:type="spellStart"/>
      <w:r w:rsidRPr="000435A1">
        <w:rPr>
          <w:rFonts w:ascii="Arial" w:eastAsia="Times New Roman" w:hAnsi="Arial" w:cs="Arial"/>
          <w:color w:val="000000"/>
          <w:sz w:val="24"/>
          <w:szCs w:val="24"/>
          <w:lang w:eastAsia="es-CO"/>
        </w:rPr>
        <w:t>testaferrato</w:t>
      </w:r>
      <w:proofErr w:type="spellEnd"/>
      <w:r w:rsidRPr="000435A1">
        <w:rPr>
          <w:rFonts w:ascii="Arial" w:eastAsia="Times New Roman" w:hAnsi="Arial" w:cs="Arial"/>
          <w:color w:val="000000"/>
          <w:sz w:val="24"/>
          <w:szCs w:val="24"/>
          <w:lang w:eastAsia="es-CO"/>
        </w:rPr>
        <w:t>;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w:t>
      </w:r>
      <w:r w:rsidR="00970A17">
        <w:rPr>
          <w:rFonts w:ascii="Arial" w:eastAsia="Times New Roman" w:hAnsi="Arial" w:cs="Arial"/>
          <w:color w:val="000000"/>
          <w:sz w:val="24"/>
          <w:szCs w:val="24"/>
          <w:lang w:eastAsia="es-CO"/>
        </w:rPr>
        <w:t>ferencia de minas antipersonal.</w:t>
      </w: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Lo dispuesto en el presente </w:t>
      </w:r>
      <w:r w:rsidR="00F471EB">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rtículo no se aplicará respecto de la sustitución de la detención preventiva y de la sustitución de la ejecución de la pena en los eventos contem</w:t>
      </w:r>
      <w:r w:rsidR="00F471EB">
        <w:rPr>
          <w:rFonts w:ascii="Arial" w:eastAsia="Times New Roman" w:hAnsi="Arial" w:cs="Arial"/>
          <w:color w:val="000000"/>
          <w:sz w:val="24"/>
          <w:szCs w:val="24"/>
          <w:lang w:eastAsia="es-CO"/>
        </w:rPr>
        <w:t>plados en los numerales 2, 3, 4</w:t>
      </w:r>
      <w:r>
        <w:rPr>
          <w:rFonts w:ascii="Arial" w:eastAsia="Times New Roman" w:hAnsi="Arial" w:cs="Arial"/>
          <w:color w:val="000000"/>
          <w:sz w:val="24"/>
          <w:szCs w:val="24"/>
          <w:lang w:eastAsia="es-CO"/>
        </w:rPr>
        <w:t xml:space="preserve"> y 5 del Artículo 314 de la Ley 906 de 2004.</w:t>
      </w: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r w:rsidRPr="00C91BB5">
        <w:rPr>
          <w:rFonts w:ascii="Arial" w:eastAsia="Times New Roman" w:hAnsi="Arial" w:cs="Arial"/>
          <w:b/>
          <w:color w:val="000000"/>
          <w:sz w:val="24"/>
          <w:szCs w:val="24"/>
          <w:lang w:eastAsia="es-CO"/>
        </w:rPr>
        <w:t>Parágrafo 1°</w:t>
      </w:r>
      <w:r>
        <w:rPr>
          <w:rFonts w:ascii="Arial" w:eastAsia="Times New Roman" w:hAnsi="Arial" w:cs="Arial"/>
          <w:color w:val="000000"/>
          <w:sz w:val="24"/>
          <w:szCs w:val="24"/>
          <w:lang w:eastAsia="es-CO"/>
        </w:rPr>
        <w:t xml:space="preserve">. Lo dispuesto en el presente artículo no se aplicará a la libertad condicional contemplada en el Artículo 64 de este </w:t>
      </w:r>
      <w:r w:rsidR="00F471EB">
        <w:rPr>
          <w:rFonts w:ascii="Arial" w:eastAsia="Times New Roman" w:hAnsi="Arial" w:cs="Arial"/>
          <w:color w:val="000000"/>
          <w:sz w:val="24"/>
          <w:szCs w:val="24"/>
          <w:lang w:eastAsia="es-CO"/>
        </w:rPr>
        <w:t>C</w:t>
      </w:r>
      <w:r>
        <w:rPr>
          <w:rFonts w:ascii="Arial" w:eastAsia="Times New Roman" w:hAnsi="Arial" w:cs="Arial"/>
          <w:color w:val="000000"/>
          <w:sz w:val="24"/>
          <w:szCs w:val="24"/>
          <w:lang w:eastAsia="es-CO"/>
        </w:rPr>
        <w:t>ódigo, ni tampoco para lo dispuesto en el Artículo 38G del presente Código.</w:t>
      </w: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r w:rsidRPr="00F471EB">
        <w:rPr>
          <w:rFonts w:ascii="Arial" w:eastAsia="Times New Roman" w:hAnsi="Arial" w:cs="Arial"/>
          <w:b/>
          <w:color w:val="000000"/>
          <w:sz w:val="24"/>
          <w:szCs w:val="24"/>
          <w:lang w:eastAsia="es-CO"/>
        </w:rPr>
        <w:lastRenderedPageBreak/>
        <w:t>Parágrafo 2°</w:t>
      </w:r>
      <w:r>
        <w:rPr>
          <w:rFonts w:ascii="Arial" w:eastAsia="Times New Roman" w:hAnsi="Arial" w:cs="Arial"/>
          <w:color w:val="000000"/>
          <w:sz w:val="24"/>
          <w:szCs w:val="24"/>
          <w:lang w:eastAsia="es-CO"/>
        </w:rPr>
        <w:t>. Lo dispuesto en el primer inciso del presente artículo no se aplicará respecto de la suspensión de la ejecución de la pena, cuando los antecedentes personales, sociales y familiares sean indicativos de que no existe la posibilidad de la ejecución de la pena.</w:t>
      </w:r>
    </w:p>
    <w:p w:rsidR="00C91BB5" w:rsidRDefault="00C91BB5" w:rsidP="0011553A">
      <w:pPr>
        <w:spacing w:after="0" w:line="240" w:lineRule="auto"/>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color w:val="000000"/>
          <w:sz w:val="24"/>
          <w:szCs w:val="24"/>
          <w:lang w:eastAsia="es-CO"/>
        </w:rPr>
        <w:t>ARTÍCULO 6°.</w:t>
      </w:r>
      <w:r w:rsidRPr="00DB7BD5">
        <w:rPr>
          <w:rFonts w:ascii="Arial" w:eastAsia="Times New Roman" w:hAnsi="Arial" w:cs="Arial"/>
          <w:b/>
          <w:bCs/>
          <w:color w:val="000000"/>
          <w:sz w:val="24"/>
          <w:szCs w:val="24"/>
          <w:lang w:eastAsia="es-CO"/>
        </w:rPr>
        <w:t> </w:t>
      </w:r>
      <w:r w:rsidRPr="00DB7BD5">
        <w:rPr>
          <w:rFonts w:ascii="Arial" w:eastAsia="Times New Roman" w:hAnsi="Arial" w:cs="Arial"/>
          <w:color w:val="000000"/>
          <w:sz w:val="24"/>
          <w:szCs w:val="24"/>
          <w:lang w:eastAsia="es-CO"/>
        </w:rPr>
        <w:t>Adiciónese un nuevo inciso al artículo 351 de la Ley 906 de 2004</w:t>
      </w:r>
      <w:r w:rsidR="00D04154">
        <w:rPr>
          <w:rFonts w:ascii="Arial" w:eastAsia="Times New Roman" w:hAnsi="Arial" w:cs="Arial"/>
          <w:color w:val="000000"/>
          <w:sz w:val="24"/>
          <w:szCs w:val="24"/>
          <w:lang w:eastAsia="es-CO"/>
        </w:rPr>
        <w:t xml:space="preserve">, el cual quedará de </w:t>
      </w:r>
      <w:r w:rsidRPr="00DB7BD5">
        <w:rPr>
          <w:rFonts w:ascii="Arial" w:eastAsia="Times New Roman" w:hAnsi="Arial" w:cs="Arial"/>
          <w:color w:val="000000"/>
          <w:sz w:val="24"/>
          <w:szCs w:val="24"/>
          <w:lang w:eastAsia="es-CO"/>
        </w:rPr>
        <w:t>la siguiente manera:</w:t>
      </w:r>
    </w:p>
    <w:p w:rsidR="00CD74B1" w:rsidRDefault="00CD74B1" w:rsidP="0011553A">
      <w:pPr>
        <w:spacing w:after="0" w:line="240" w:lineRule="auto"/>
        <w:ind w:firstLine="283"/>
        <w:jc w:val="both"/>
        <w:textAlignment w:val="center"/>
        <w:rPr>
          <w:rFonts w:ascii="Arial" w:eastAsia="Times New Roman" w:hAnsi="Arial" w:cs="Arial"/>
          <w:b/>
          <w:bCs/>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
          <w:bCs/>
          <w:color w:val="000000"/>
          <w:sz w:val="24"/>
          <w:szCs w:val="24"/>
          <w:lang w:eastAsia="es-CO"/>
        </w:rPr>
        <w:t>Artículo 351.</w:t>
      </w:r>
      <w:r w:rsidRPr="00DB7BD5">
        <w:rPr>
          <w:rFonts w:ascii="Arial" w:eastAsia="Times New Roman" w:hAnsi="Arial" w:cs="Arial"/>
          <w:color w:val="000000"/>
          <w:sz w:val="24"/>
          <w:szCs w:val="24"/>
          <w:lang w:eastAsia="es-CO"/>
        </w:rPr>
        <w:t> </w:t>
      </w:r>
      <w:r w:rsidRPr="0011553A">
        <w:rPr>
          <w:rFonts w:ascii="Arial" w:eastAsia="Times New Roman" w:hAnsi="Arial" w:cs="Arial"/>
          <w:iCs/>
          <w:color w:val="000000"/>
          <w:sz w:val="24"/>
          <w:szCs w:val="24"/>
          <w:lang w:eastAsia="es-CO"/>
        </w:rPr>
        <w:t>Modalidades</w:t>
      </w:r>
      <w:r w:rsidRPr="00DB7BD5">
        <w:rPr>
          <w:rFonts w:ascii="Arial" w:eastAsia="Times New Roman" w:hAnsi="Arial" w:cs="Arial"/>
          <w:color w:val="000000"/>
          <w:sz w:val="24"/>
          <w:szCs w:val="24"/>
          <w:lang w:eastAsia="es-CO"/>
        </w:rPr>
        <w:t>. La aceptación de los cargos determinados en la audiencia de formulación de la imputación, comporta una rebaja hasta de la mitad de la pena imponible, acuerdo que se consignará en el escrito de acusación.</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color w:val="000000"/>
          <w:sz w:val="24"/>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color w:val="000000"/>
          <w:sz w:val="24"/>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color w:val="000000"/>
          <w:sz w:val="24"/>
          <w:szCs w:val="24"/>
          <w:lang w:eastAsia="es-CO"/>
        </w:rPr>
        <w:t>Los preacuerdos celebrados entre Fiscalía y acusado obligan al juez de conocimiento, salvo que ellos desconozcan o quebranten las garantías fundamentales.</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color w:val="000000"/>
          <w:sz w:val="24"/>
          <w:szCs w:val="24"/>
          <w:lang w:eastAsia="es-CO"/>
        </w:rPr>
        <w:t>Aprobados los preacuerdos por el juez, procederá a convocar la audiencia para dictar la sentencia correspondiente.</w:t>
      </w: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color w:val="000000"/>
          <w:sz w:val="24"/>
          <w:szCs w:val="24"/>
          <w:lang w:eastAsia="es-CO"/>
        </w:rPr>
        <w:t>Las reparaciones efectivas a la víctima que puedan resultar de los preacuerdos entre fiscal e imputado o acusado, pueden aceptarse por la víctima. En caso de rehusarlos, esta podrá acudir a las vías judiciales pertinentes.</w:t>
      </w:r>
    </w:p>
    <w:p w:rsidR="00F77946" w:rsidRPr="00DB7BD5" w:rsidRDefault="00F77946" w:rsidP="0011553A">
      <w:pPr>
        <w:spacing w:after="0" w:line="240" w:lineRule="auto"/>
        <w:ind w:firstLine="283"/>
        <w:jc w:val="both"/>
        <w:textAlignment w:val="center"/>
        <w:rPr>
          <w:rFonts w:ascii="Arial" w:eastAsia="Times New Roman" w:hAnsi="Arial" w:cs="Arial"/>
          <w:b/>
          <w:bCs/>
          <w:i/>
          <w:iCs/>
          <w:color w:val="000000"/>
          <w:sz w:val="24"/>
          <w:szCs w:val="24"/>
          <w:u w:val="single"/>
          <w:lang w:eastAsia="es-CO"/>
        </w:rPr>
      </w:pPr>
    </w:p>
    <w:p w:rsidR="00F77946" w:rsidRPr="00DB7BD5" w:rsidRDefault="00F77946" w:rsidP="0011553A">
      <w:pPr>
        <w:spacing w:after="0" w:line="240" w:lineRule="auto"/>
        <w:ind w:firstLine="283"/>
        <w:jc w:val="both"/>
        <w:textAlignment w:val="center"/>
        <w:rPr>
          <w:rFonts w:ascii="Arial" w:eastAsia="Times New Roman" w:hAnsi="Arial" w:cs="Arial"/>
          <w:color w:val="000000"/>
          <w:sz w:val="24"/>
          <w:szCs w:val="24"/>
          <w:lang w:eastAsia="es-CO"/>
        </w:rPr>
      </w:pPr>
      <w:r w:rsidRPr="00DB7BD5">
        <w:rPr>
          <w:rFonts w:ascii="Arial" w:eastAsia="Times New Roman" w:hAnsi="Arial" w:cs="Arial"/>
          <w:bCs/>
          <w:iCs/>
          <w:color w:val="000000"/>
          <w:sz w:val="24"/>
          <w:szCs w:val="24"/>
          <w:lang w:eastAsia="es-CO"/>
        </w:rPr>
        <w:t xml:space="preserve">Para el delito consagrado en el </w:t>
      </w:r>
      <w:r w:rsidR="00D04154">
        <w:rPr>
          <w:rFonts w:ascii="Arial" w:eastAsia="Times New Roman" w:hAnsi="Arial" w:cs="Arial"/>
          <w:bCs/>
          <w:iCs/>
          <w:color w:val="000000"/>
          <w:sz w:val="24"/>
          <w:szCs w:val="24"/>
          <w:lang w:eastAsia="es-CO"/>
        </w:rPr>
        <w:t>A</w:t>
      </w:r>
      <w:r w:rsidRPr="00DB7BD5">
        <w:rPr>
          <w:rFonts w:ascii="Arial" w:eastAsia="Times New Roman" w:hAnsi="Arial" w:cs="Arial"/>
          <w:bCs/>
          <w:iCs/>
          <w:color w:val="000000"/>
          <w:sz w:val="24"/>
          <w:szCs w:val="24"/>
          <w:lang w:eastAsia="es-CO"/>
        </w:rPr>
        <w:t>rtículo 11</w:t>
      </w:r>
      <w:r w:rsidR="00D04154">
        <w:rPr>
          <w:rFonts w:ascii="Arial" w:eastAsia="Times New Roman" w:hAnsi="Arial" w:cs="Arial"/>
          <w:bCs/>
          <w:iCs/>
          <w:color w:val="000000"/>
          <w:sz w:val="24"/>
          <w:szCs w:val="24"/>
          <w:lang w:eastAsia="es-CO"/>
        </w:rPr>
        <w:t>6</w:t>
      </w:r>
      <w:r w:rsidRPr="00DB7BD5">
        <w:rPr>
          <w:rFonts w:ascii="Arial" w:eastAsia="Times New Roman" w:hAnsi="Arial" w:cs="Arial"/>
          <w:bCs/>
          <w:iCs/>
          <w:color w:val="000000"/>
          <w:sz w:val="24"/>
          <w:szCs w:val="24"/>
          <w:lang w:eastAsia="es-CO"/>
        </w:rPr>
        <w:t xml:space="preserve">A </w:t>
      </w:r>
      <w:r w:rsidR="00D04154">
        <w:rPr>
          <w:rFonts w:ascii="Arial" w:eastAsia="Times New Roman" w:hAnsi="Arial" w:cs="Arial"/>
          <w:bCs/>
          <w:iCs/>
          <w:color w:val="000000"/>
          <w:sz w:val="24"/>
          <w:szCs w:val="24"/>
          <w:lang w:eastAsia="es-CO"/>
        </w:rPr>
        <w:t xml:space="preserve">y en la circunstancia de agravación del numeral 12 del Artículo 104 </w:t>
      </w:r>
      <w:r w:rsidRPr="00DB7BD5">
        <w:rPr>
          <w:rFonts w:ascii="Arial" w:eastAsia="Times New Roman" w:hAnsi="Arial" w:cs="Arial"/>
          <w:bCs/>
          <w:iCs/>
          <w:color w:val="000000"/>
          <w:sz w:val="24"/>
          <w:szCs w:val="24"/>
          <w:lang w:eastAsia="es-CO"/>
        </w:rPr>
        <w:t>de la Ley 599 de 2000, la aceptación de los cargos determinados en la audiencia de formulación de la imputación, comporta una rebaja hasta de una tercera parte de la pena imponible.</w:t>
      </w:r>
    </w:p>
    <w:p w:rsidR="00F77946" w:rsidRPr="00DB7BD5" w:rsidRDefault="00F77946" w:rsidP="0011553A">
      <w:pPr>
        <w:spacing w:after="0" w:line="240" w:lineRule="auto"/>
        <w:jc w:val="both"/>
        <w:textAlignment w:val="center"/>
        <w:rPr>
          <w:rFonts w:ascii="Arial" w:eastAsia="Times New Roman" w:hAnsi="Arial" w:cs="Arial"/>
          <w:b/>
          <w:bCs/>
          <w:color w:val="000000"/>
          <w:sz w:val="24"/>
          <w:szCs w:val="24"/>
          <w:lang w:eastAsia="es-CO"/>
        </w:rPr>
      </w:pPr>
    </w:p>
    <w:p w:rsidR="00F77946" w:rsidRPr="00DB7BD5" w:rsidRDefault="00F77946" w:rsidP="0011553A">
      <w:pPr>
        <w:spacing w:after="0" w:line="240" w:lineRule="auto"/>
        <w:jc w:val="both"/>
        <w:textAlignment w:val="center"/>
        <w:rPr>
          <w:rFonts w:ascii="Arial" w:eastAsia="Times New Roman" w:hAnsi="Arial" w:cs="Arial"/>
          <w:color w:val="000000"/>
          <w:sz w:val="24"/>
          <w:szCs w:val="24"/>
          <w:lang w:eastAsia="es-CO"/>
        </w:rPr>
      </w:pPr>
      <w:r w:rsidRPr="00DB7BD5">
        <w:rPr>
          <w:rFonts w:ascii="Arial" w:eastAsia="Times New Roman" w:hAnsi="Arial" w:cs="Arial"/>
          <w:b/>
          <w:bCs/>
          <w:sz w:val="24"/>
          <w:szCs w:val="24"/>
          <w:lang w:eastAsia="es-CO"/>
        </w:rPr>
        <w:t>ARTÍCULO 7º.</w:t>
      </w:r>
      <w:r w:rsidRPr="00DB7BD5">
        <w:rPr>
          <w:rFonts w:ascii="Arial" w:eastAsia="Times New Roman" w:hAnsi="Arial" w:cs="Arial"/>
          <w:bCs/>
          <w:sz w:val="24"/>
          <w:szCs w:val="24"/>
          <w:lang w:eastAsia="es-CO"/>
        </w:rPr>
        <w:t xml:space="preserve"> Modifíquese el</w:t>
      </w:r>
      <w:r w:rsidR="00D04154">
        <w:rPr>
          <w:rFonts w:ascii="Arial" w:eastAsia="Times New Roman" w:hAnsi="Arial" w:cs="Arial"/>
          <w:bCs/>
          <w:sz w:val="24"/>
          <w:szCs w:val="24"/>
          <w:lang w:eastAsia="es-CO"/>
        </w:rPr>
        <w:t xml:space="preserve"> A</w:t>
      </w:r>
      <w:r w:rsidRPr="00DB7BD5">
        <w:rPr>
          <w:rFonts w:ascii="Arial" w:eastAsia="Times New Roman" w:hAnsi="Arial" w:cs="Arial"/>
          <w:bCs/>
          <w:sz w:val="24"/>
          <w:szCs w:val="24"/>
          <w:lang w:eastAsia="es-CO"/>
        </w:rPr>
        <w:t xml:space="preserve">rtículo 374 </w:t>
      </w:r>
      <w:r w:rsidRPr="00DB7BD5">
        <w:rPr>
          <w:rFonts w:ascii="Arial" w:eastAsia="Times New Roman" w:hAnsi="Arial" w:cs="Arial"/>
          <w:color w:val="000000"/>
          <w:sz w:val="24"/>
          <w:szCs w:val="24"/>
          <w:lang w:eastAsia="es-CO"/>
        </w:rPr>
        <w:t>de la Ley 599 de 2000, el cual quedará así:</w:t>
      </w:r>
    </w:p>
    <w:p w:rsidR="00F77946" w:rsidRPr="0011553A" w:rsidRDefault="00F77946" w:rsidP="0011553A">
      <w:pPr>
        <w:autoSpaceDE w:val="0"/>
        <w:autoSpaceDN w:val="0"/>
        <w:adjustRightInd w:val="0"/>
        <w:spacing w:after="0" w:line="240" w:lineRule="auto"/>
        <w:jc w:val="both"/>
        <w:rPr>
          <w:rFonts w:ascii="Arial" w:eastAsia="Times New Roman" w:hAnsi="Arial" w:cs="Arial"/>
          <w:bCs/>
          <w:sz w:val="24"/>
          <w:szCs w:val="24"/>
          <w:lang w:eastAsia="es-CO"/>
        </w:rPr>
      </w:pPr>
    </w:p>
    <w:p w:rsidR="00F77946" w:rsidRPr="0011553A" w:rsidRDefault="00F77946" w:rsidP="0011553A">
      <w:pPr>
        <w:spacing w:after="0" w:line="240" w:lineRule="auto"/>
        <w:jc w:val="both"/>
        <w:textAlignment w:val="center"/>
        <w:rPr>
          <w:rFonts w:ascii="Arial" w:eastAsia="Times New Roman" w:hAnsi="Arial" w:cs="Arial"/>
          <w:bCs/>
          <w:iCs/>
          <w:color w:val="000000"/>
          <w:sz w:val="24"/>
          <w:szCs w:val="24"/>
          <w:lang w:eastAsia="es-CO"/>
        </w:rPr>
      </w:pPr>
      <w:r w:rsidRPr="0011553A">
        <w:rPr>
          <w:rFonts w:ascii="Arial" w:eastAsia="Times New Roman" w:hAnsi="Arial" w:cs="Arial"/>
          <w:b/>
          <w:bCs/>
          <w:iCs/>
          <w:color w:val="000000"/>
          <w:sz w:val="24"/>
          <w:szCs w:val="24"/>
          <w:lang w:eastAsia="es-CO"/>
        </w:rPr>
        <w:lastRenderedPageBreak/>
        <w:t>Artículo 374.</w:t>
      </w:r>
      <w:r w:rsidRPr="0011553A">
        <w:rPr>
          <w:rFonts w:ascii="Arial" w:eastAsia="Times New Roman" w:hAnsi="Arial" w:cs="Arial"/>
          <w:bCs/>
          <w:iCs/>
          <w:color w:val="000000"/>
          <w:sz w:val="24"/>
          <w:szCs w:val="24"/>
          <w:lang w:eastAsia="es-CO"/>
        </w:rPr>
        <w:t xml:space="preserve"> Fabricación, </w:t>
      </w:r>
      <w:r w:rsidR="00D04154">
        <w:rPr>
          <w:rFonts w:ascii="Arial" w:eastAsia="Times New Roman" w:hAnsi="Arial" w:cs="Arial"/>
          <w:bCs/>
          <w:iCs/>
          <w:color w:val="000000"/>
          <w:sz w:val="24"/>
          <w:szCs w:val="24"/>
          <w:lang w:eastAsia="es-CO"/>
        </w:rPr>
        <w:t xml:space="preserve">comercialización, </w:t>
      </w:r>
      <w:r w:rsidRPr="0011553A">
        <w:rPr>
          <w:rFonts w:ascii="Arial" w:eastAsia="Times New Roman" w:hAnsi="Arial" w:cs="Arial"/>
          <w:bCs/>
          <w:iCs/>
          <w:color w:val="000000"/>
          <w:sz w:val="24"/>
          <w:szCs w:val="24"/>
          <w:lang w:eastAsia="es-CO"/>
        </w:rPr>
        <w:t>distribución, suministro</w:t>
      </w:r>
      <w:r w:rsidR="00D04154">
        <w:rPr>
          <w:rFonts w:ascii="Arial" w:eastAsia="Times New Roman" w:hAnsi="Arial" w:cs="Arial"/>
          <w:bCs/>
          <w:iCs/>
          <w:color w:val="000000"/>
          <w:sz w:val="24"/>
          <w:szCs w:val="24"/>
          <w:lang w:eastAsia="es-CO"/>
        </w:rPr>
        <w:t xml:space="preserve"> </w:t>
      </w:r>
      <w:r w:rsidRPr="0011553A">
        <w:rPr>
          <w:rFonts w:ascii="Arial" w:eastAsia="Times New Roman" w:hAnsi="Arial" w:cs="Arial"/>
          <w:bCs/>
          <w:iCs/>
          <w:color w:val="000000"/>
          <w:sz w:val="24"/>
          <w:szCs w:val="24"/>
          <w:lang w:eastAsia="es-CO"/>
        </w:rPr>
        <w:t>y adquisición de productos o agentes químicos, ácidos o sustancias similares nocivas para la salud. El que sin permiso o sin llevar el control establecido por la autoridad competente fabrique, distribuya, suministre, comercialice o adquiera productos o agentes químicos, ácidos</w:t>
      </w:r>
      <w:r w:rsidR="00D04154">
        <w:rPr>
          <w:rFonts w:ascii="Arial" w:eastAsia="Times New Roman" w:hAnsi="Arial" w:cs="Arial"/>
          <w:bCs/>
          <w:iCs/>
          <w:color w:val="000000"/>
          <w:sz w:val="24"/>
          <w:szCs w:val="24"/>
          <w:lang w:eastAsia="es-CO"/>
        </w:rPr>
        <w:t xml:space="preserve">, álcalis, </w:t>
      </w:r>
      <w:r w:rsidRPr="0011553A">
        <w:rPr>
          <w:rFonts w:ascii="Arial" w:eastAsia="Times New Roman" w:hAnsi="Arial" w:cs="Arial"/>
          <w:bCs/>
          <w:iCs/>
          <w:color w:val="000000"/>
          <w:sz w:val="24"/>
          <w:szCs w:val="24"/>
          <w:lang w:eastAsia="es-CO"/>
        </w:rPr>
        <w:t xml:space="preserve">sustancias similares </w:t>
      </w:r>
      <w:r w:rsidR="00D04154">
        <w:rPr>
          <w:rFonts w:ascii="Arial" w:eastAsia="Times New Roman" w:hAnsi="Arial" w:cs="Arial"/>
          <w:bCs/>
          <w:iCs/>
          <w:color w:val="000000"/>
          <w:sz w:val="24"/>
          <w:szCs w:val="24"/>
          <w:lang w:eastAsia="es-CO"/>
        </w:rPr>
        <w:t xml:space="preserve">o corrosivas que generen perjuicio o destrucción al entrar en contacto con el tejido humano o </w:t>
      </w:r>
      <w:r w:rsidRPr="0011553A">
        <w:rPr>
          <w:rFonts w:ascii="Arial" w:eastAsia="Times New Roman" w:hAnsi="Arial" w:cs="Arial"/>
          <w:bCs/>
          <w:iCs/>
          <w:color w:val="000000"/>
          <w:sz w:val="24"/>
          <w:szCs w:val="24"/>
          <w:lang w:eastAsia="es-CO"/>
        </w:rPr>
        <w:t>nocivas para la salud, incurrirá en prisión de cinco (5) a once (11) años, multa de doscientos (200) a mil quinientos (1.500) salarios mínimos legales mensuales vigentes e inhabilitación para el ejercicio de la profesión, arte, oficio, industria o comercio por el mismo término de la pena privativa de la libertad</w:t>
      </w:r>
      <w:r w:rsidR="00D04154">
        <w:rPr>
          <w:rFonts w:ascii="Arial" w:eastAsia="Times New Roman" w:hAnsi="Arial" w:cs="Arial"/>
          <w:bCs/>
          <w:iCs/>
          <w:color w:val="000000"/>
          <w:sz w:val="24"/>
          <w:szCs w:val="24"/>
          <w:lang w:eastAsia="es-CO"/>
        </w:rPr>
        <w:t>.</w:t>
      </w:r>
    </w:p>
    <w:p w:rsidR="00F77946" w:rsidRPr="0011553A" w:rsidRDefault="00F77946" w:rsidP="0011553A">
      <w:pPr>
        <w:spacing w:after="0" w:line="240" w:lineRule="auto"/>
        <w:jc w:val="both"/>
        <w:textAlignment w:val="center"/>
        <w:rPr>
          <w:rFonts w:ascii="Arial" w:eastAsia="Times New Roman" w:hAnsi="Arial" w:cs="Arial"/>
          <w:bCs/>
          <w:iCs/>
          <w:color w:val="000000"/>
          <w:sz w:val="24"/>
          <w:szCs w:val="24"/>
          <w:lang w:eastAsia="es-CO"/>
        </w:rPr>
      </w:pPr>
    </w:p>
    <w:p w:rsidR="00F77946" w:rsidRPr="00DB7BD5" w:rsidRDefault="00F77946" w:rsidP="0011553A">
      <w:pPr>
        <w:spacing w:after="0" w:line="240" w:lineRule="auto"/>
        <w:jc w:val="both"/>
        <w:textAlignment w:val="center"/>
        <w:rPr>
          <w:rFonts w:ascii="Arial" w:eastAsia="Times New Roman" w:hAnsi="Arial" w:cs="Arial"/>
          <w:b/>
          <w:bCs/>
          <w:color w:val="000000"/>
          <w:sz w:val="24"/>
          <w:szCs w:val="24"/>
          <w:lang w:eastAsia="es-CO"/>
        </w:rPr>
      </w:pPr>
      <w:r w:rsidRPr="00DB7BD5">
        <w:rPr>
          <w:rFonts w:ascii="Arial" w:eastAsia="Times New Roman" w:hAnsi="Arial" w:cs="Arial"/>
          <w:b/>
          <w:bCs/>
          <w:color w:val="000000"/>
          <w:sz w:val="24"/>
          <w:szCs w:val="24"/>
          <w:lang w:val="es-ES_tradnl" w:eastAsia="es-CO"/>
        </w:rPr>
        <w:t>ARTÍCULO 8º. </w:t>
      </w:r>
      <w:r w:rsidR="00AC324E">
        <w:rPr>
          <w:rFonts w:ascii="Arial" w:eastAsia="Times New Roman" w:hAnsi="Arial" w:cs="Arial"/>
          <w:color w:val="000000"/>
          <w:sz w:val="24"/>
          <w:szCs w:val="24"/>
          <w:lang w:val="es-ES_tradnl" w:eastAsia="es-CO"/>
        </w:rPr>
        <w:t xml:space="preserve">Prevención. Dentro de los tres (3) meses siguientes a la expedición de la presente Ley, el Gobierno Nacional adelantará una amplia campaña de prevención del uso de productos o agentes químicos, ácidos, álcalis, sustancias similares o corrosivas que generen perjuicio o destrucción al entrar en contacto con el tejido humano, para agredir a las personas, así como de divulgación de las </w:t>
      </w:r>
      <w:r w:rsidR="001D5982">
        <w:rPr>
          <w:rFonts w:ascii="Arial" w:eastAsia="Times New Roman" w:hAnsi="Arial" w:cs="Arial"/>
          <w:color w:val="000000"/>
          <w:sz w:val="24"/>
          <w:szCs w:val="24"/>
          <w:lang w:val="es-ES_tradnl" w:eastAsia="es-CO"/>
        </w:rPr>
        <w:t>penas objeto de la presente Ley</w:t>
      </w:r>
      <w:r w:rsidR="00AC324E">
        <w:rPr>
          <w:rFonts w:ascii="Arial" w:eastAsia="Times New Roman" w:hAnsi="Arial" w:cs="Arial"/>
          <w:color w:val="000000"/>
          <w:sz w:val="24"/>
          <w:szCs w:val="24"/>
          <w:lang w:val="es-ES_tradnl" w:eastAsia="es-CO"/>
        </w:rPr>
        <w:t>.</w:t>
      </w:r>
    </w:p>
    <w:p w:rsidR="00AC324E" w:rsidRDefault="00AC324E" w:rsidP="00AC324E">
      <w:pPr>
        <w:spacing w:after="0" w:line="240" w:lineRule="auto"/>
        <w:jc w:val="both"/>
        <w:textAlignment w:val="center"/>
        <w:rPr>
          <w:rFonts w:ascii="Arial" w:eastAsia="Times New Roman" w:hAnsi="Arial" w:cs="Arial"/>
          <w:b/>
          <w:bCs/>
          <w:color w:val="000000"/>
          <w:sz w:val="24"/>
          <w:szCs w:val="24"/>
          <w:lang w:val="es-ES_tradnl" w:eastAsia="es-CO"/>
        </w:rPr>
      </w:pPr>
    </w:p>
    <w:p w:rsidR="00AC324E" w:rsidRPr="00DB7BD5" w:rsidRDefault="00AC324E" w:rsidP="00AC324E">
      <w:pPr>
        <w:spacing w:after="0" w:line="240" w:lineRule="auto"/>
        <w:jc w:val="both"/>
        <w:textAlignment w:val="center"/>
        <w:rPr>
          <w:rFonts w:ascii="Arial" w:eastAsia="Times New Roman" w:hAnsi="Arial" w:cs="Arial"/>
          <w:b/>
          <w:bCs/>
          <w:color w:val="000000"/>
          <w:sz w:val="24"/>
          <w:szCs w:val="24"/>
          <w:lang w:eastAsia="es-CO"/>
        </w:rPr>
      </w:pPr>
      <w:r w:rsidRPr="00DB7BD5">
        <w:rPr>
          <w:rFonts w:ascii="Arial" w:eastAsia="Times New Roman" w:hAnsi="Arial" w:cs="Arial"/>
          <w:b/>
          <w:bCs/>
          <w:color w:val="000000"/>
          <w:sz w:val="24"/>
          <w:szCs w:val="24"/>
          <w:lang w:val="es-ES_tradnl" w:eastAsia="es-CO"/>
        </w:rPr>
        <w:t>ARTÍCULO º. </w:t>
      </w:r>
      <w:r w:rsidRPr="008E1041">
        <w:rPr>
          <w:rFonts w:ascii="Arial" w:eastAsia="Times New Roman" w:hAnsi="Arial" w:cs="Arial"/>
          <w:b/>
          <w:bCs/>
          <w:iCs/>
          <w:color w:val="000000"/>
          <w:sz w:val="24"/>
          <w:szCs w:val="24"/>
          <w:lang w:val="es-ES_tradnl" w:eastAsia="es-CO"/>
        </w:rPr>
        <w:t>Vigencia</w:t>
      </w:r>
      <w:r w:rsidRPr="00DB7BD5">
        <w:rPr>
          <w:rFonts w:ascii="Arial" w:eastAsia="Times New Roman" w:hAnsi="Arial" w:cs="Arial"/>
          <w:color w:val="000000"/>
          <w:sz w:val="24"/>
          <w:szCs w:val="24"/>
          <w:lang w:val="es-ES_tradnl" w:eastAsia="es-CO"/>
        </w:rPr>
        <w:t xml:space="preserve">. La presente </w:t>
      </w:r>
      <w:r w:rsidR="007A4FEA">
        <w:rPr>
          <w:rFonts w:ascii="Arial" w:eastAsia="Times New Roman" w:hAnsi="Arial" w:cs="Arial"/>
          <w:color w:val="000000"/>
          <w:sz w:val="24"/>
          <w:szCs w:val="24"/>
          <w:lang w:val="es-ES_tradnl" w:eastAsia="es-CO"/>
        </w:rPr>
        <w:t>L</w:t>
      </w:r>
      <w:r w:rsidRPr="00DB7BD5">
        <w:rPr>
          <w:rFonts w:ascii="Arial" w:eastAsia="Times New Roman" w:hAnsi="Arial" w:cs="Arial"/>
          <w:color w:val="000000"/>
          <w:sz w:val="24"/>
          <w:szCs w:val="24"/>
          <w:lang w:val="es-ES_tradnl" w:eastAsia="es-CO"/>
        </w:rPr>
        <w:t>ey rige a partir de su publicación y deroga todas las disposiciones que le sean contrarias.</w:t>
      </w:r>
    </w:p>
    <w:p w:rsidR="00F77946" w:rsidRPr="00DB7BD5" w:rsidRDefault="00F77946" w:rsidP="0011553A">
      <w:pPr>
        <w:spacing w:after="0" w:line="240" w:lineRule="auto"/>
        <w:jc w:val="both"/>
        <w:rPr>
          <w:rFonts w:ascii="Arial" w:hAnsi="Arial" w:cs="Arial"/>
          <w:sz w:val="24"/>
          <w:szCs w:val="24"/>
        </w:rPr>
      </w:pPr>
    </w:p>
    <w:p w:rsidR="00CB7B53" w:rsidRPr="00155F23" w:rsidRDefault="00CB7B53" w:rsidP="001155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155F23">
        <w:rPr>
          <w:rFonts w:ascii="Arial" w:hAnsi="Arial" w:cs="Arial"/>
          <w:sz w:val="24"/>
          <w:szCs w:val="24"/>
        </w:rPr>
        <w:t xml:space="preserve">n los anteriores términos fue aprobado el presente Proyecto de </w:t>
      </w:r>
      <w:r>
        <w:rPr>
          <w:rFonts w:ascii="Arial" w:hAnsi="Arial" w:cs="Arial"/>
          <w:sz w:val="24"/>
          <w:szCs w:val="24"/>
        </w:rPr>
        <w:t xml:space="preserve">Ley </w:t>
      </w:r>
      <w:r w:rsidR="00B068A7">
        <w:rPr>
          <w:rFonts w:ascii="Arial" w:hAnsi="Arial" w:cs="Arial"/>
          <w:sz w:val="24"/>
          <w:szCs w:val="24"/>
        </w:rPr>
        <w:t>co</w:t>
      </w:r>
      <w:r>
        <w:rPr>
          <w:rFonts w:ascii="Arial" w:hAnsi="Arial" w:cs="Arial"/>
          <w:sz w:val="24"/>
          <w:szCs w:val="24"/>
        </w:rPr>
        <w:t xml:space="preserve">n </w:t>
      </w:r>
      <w:r w:rsidRPr="00155F23">
        <w:rPr>
          <w:rFonts w:ascii="Arial" w:hAnsi="Arial" w:cs="Arial"/>
          <w:sz w:val="24"/>
          <w:szCs w:val="24"/>
        </w:rPr>
        <w:t xml:space="preserve">modificaciones, </w:t>
      </w:r>
      <w:r>
        <w:rPr>
          <w:rFonts w:ascii="Arial" w:hAnsi="Arial" w:cs="Arial"/>
          <w:sz w:val="24"/>
          <w:szCs w:val="24"/>
        </w:rPr>
        <w:t xml:space="preserve">el día 5 de mayo </w:t>
      </w:r>
      <w:r w:rsidRPr="00155F23">
        <w:rPr>
          <w:rFonts w:ascii="Arial" w:hAnsi="Arial" w:cs="Arial"/>
          <w:sz w:val="24"/>
          <w:szCs w:val="24"/>
        </w:rPr>
        <w:t>de 201</w:t>
      </w:r>
      <w:r>
        <w:rPr>
          <w:rFonts w:ascii="Arial" w:hAnsi="Arial" w:cs="Arial"/>
          <w:sz w:val="24"/>
          <w:szCs w:val="24"/>
        </w:rPr>
        <w:t>5</w:t>
      </w:r>
      <w:r w:rsidRPr="00155F23">
        <w:rPr>
          <w:rFonts w:ascii="Arial" w:hAnsi="Arial" w:cs="Arial"/>
          <w:sz w:val="24"/>
          <w:szCs w:val="24"/>
        </w:rPr>
        <w:t xml:space="preserve">; según consta en </w:t>
      </w:r>
      <w:r>
        <w:rPr>
          <w:rFonts w:ascii="Arial" w:hAnsi="Arial" w:cs="Arial"/>
          <w:sz w:val="24"/>
          <w:szCs w:val="24"/>
        </w:rPr>
        <w:t>e</w:t>
      </w:r>
      <w:r w:rsidRPr="00155F23">
        <w:rPr>
          <w:rFonts w:ascii="Arial" w:hAnsi="Arial" w:cs="Arial"/>
          <w:sz w:val="24"/>
          <w:szCs w:val="24"/>
        </w:rPr>
        <w:t xml:space="preserve">l Acta No. </w:t>
      </w:r>
      <w:r>
        <w:rPr>
          <w:rFonts w:ascii="Arial" w:hAnsi="Arial" w:cs="Arial"/>
          <w:sz w:val="24"/>
          <w:szCs w:val="24"/>
        </w:rPr>
        <w:t>45. Así mi</w:t>
      </w:r>
      <w:r w:rsidRPr="00155F23">
        <w:rPr>
          <w:rFonts w:ascii="Arial" w:hAnsi="Arial" w:cs="Arial"/>
          <w:sz w:val="24"/>
          <w:szCs w:val="24"/>
        </w:rPr>
        <w:t>smo fue anunciado</w:t>
      </w:r>
      <w:r>
        <w:rPr>
          <w:rFonts w:ascii="Arial" w:hAnsi="Arial" w:cs="Arial"/>
          <w:sz w:val="24"/>
          <w:szCs w:val="24"/>
        </w:rPr>
        <w:t xml:space="preserve">, entre otras fechas, </w:t>
      </w:r>
      <w:r w:rsidRPr="00155F23">
        <w:rPr>
          <w:rFonts w:ascii="Arial" w:hAnsi="Arial" w:cs="Arial"/>
          <w:sz w:val="24"/>
          <w:szCs w:val="24"/>
        </w:rPr>
        <w:t>e</w:t>
      </w:r>
      <w:r>
        <w:rPr>
          <w:rFonts w:ascii="Arial" w:hAnsi="Arial" w:cs="Arial"/>
          <w:sz w:val="24"/>
          <w:szCs w:val="24"/>
        </w:rPr>
        <w:t>l</w:t>
      </w:r>
      <w:r w:rsidRPr="00155F23">
        <w:rPr>
          <w:rFonts w:ascii="Arial" w:hAnsi="Arial" w:cs="Arial"/>
          <w:sz w:val="24"/>
          <w:szCs w:val="24"/>
        </w:rPr>
        <w:t xml:space="preserve"> día </w:t>
      </w:r>
      <w:r>
        <w:rPr>
          <w:rFonts w:ascii="Arial" w:hAnsi="Arial" w:cs="Arial"/>
          <w:sz w:val="24"/>
          <w:szCs w:val="24"/>
        </w:rPr>
        <w:t>22</w:t>
      </w:r>
      <w:r w:rsidRPr="00155F23">
        <w:rPr>
          <w:rFonts w:ascii="Arial" w:hAnsi="Arial" w:cs="Arial"/>
          <w:sz w:val="24"/>
          <w:szCs w:val="24"/>
        </w:rPr>
        <w:t xml:space="preserve"> de </w:t>
      </w:r>
      <w:r>
        <w:rPr>
          <w:rFonts w:ascii="Arial" w:hAnsi="Arial" w:cs="Arial"/>
          <w:sz w:val="24"/>
          <w:szCs w:val="24"/>
        </w:rPr>
        <w:t xml:space="preserve">abril </w:t>
      </w:r>
      <w:r w:rsidRPr="00155F23">
        <w:rPr>
          <w:rFonts w:ascii="Arial" w:hAnsi="Arial" w:cs="Arial"/>
          <w:sz w:val="24"/>
          <w:szCs w:val="24"/>
        </w:rPr>
        <w:t>de 201</w:t>
      </w:r>
      <w:r>
        <w:rPr>
          <w:rFonts w:ascii="Arial" w:hAnsi="Arial" w:cs="Arial"/>
          <w:sz w:val="24"/>
          <w:szCs w:val="24"/>
        </w:rPr>
        <w:t>5</w:t>
      </w:r>
      <w:r w:rsidRPr="00155F23">
        <w:rPr>
          <w:rFonts w:ascii="Arial" w:hAnsi="Arial" w:cs="Arial"/>
          <w:sz w:val="24"/>
          <w:szCs w:val="24"/>
        </w:rPr>
        <w:t xml:space="preserve"> según </w:t>
      </w:r>
      <w:r>
        <w:rPr>
          <w:rFonts w:ascii="Arial" w:hAnsi="Arial" w:cs="Arial"/>
          <w:sz w:val="24"/>
          <w:szCs w:val="24"/>
        </w:rPr>
        <w:t>A</w:t>
      </w:r>
      <w:r w:rsidRPr="00155F23">
        <w:rPr>
          <w:rFonts w:ascii="Arial" w:hAnsi="Arial" w:cs="Arial"/>
          <w:sz w:val="24"/>
          <w:szCs w:val="24"/>
        </w:rPr>
        <w:t xml:space="preserve">cta No. </w:t>
      </w:r>
      <w:r>
        <w:rPr>
          <w:rFonts w:ascii="Arial" w:hAnsi="Arial" w:cs="Arial"/>
          <w:sz w:val="24"/>
          <w:szCs w:val="24"/>
        </w:rPr>
        <w:t>43</w:t>
      </w:r>
      <w:r w:rsidRPr="00155F23">
        <w:rPr>
          <w:rFonts w:ascii="Arial" w:hAnsi="Arial" w:cs="Arial"/>
          <w:sz w:val="24"/>
          <w:szCs w:val="24"/>
        </w:rPr>
        <w:t xml:space="preserve"> de esa misma fecha.</w:t>
      </w:r>
    </w:p>
    <w:p w:rsidR="00CB7B53" w:rsidRDefault="00CB7B53" w:rsidP="001155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F933A7" w:rsidRPr="00155F23" w:rsidRDefault="00F933A7"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CB7B53" w:rsidRPr="003D3EAC"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Pr>
          <w:rFonts w:ascii="Arial" w:hAnsi="Arial" w:cs="Arial"/>
          <w:b/>
        </w:rPr>
        <w:t>OSCAR HERNAN SANCHEZ LEON</w:t>
      </w:r>
      <w:r>
        <w:rPr>
          <w:rFonts w:ascii="Arial" w:hAnsi="Arial" w:cs="Arial"/>
          <w:b/>
        </w:rPr>
        <w:tab/>
      </w:r>
      <w:r>
        <w:rPr>
          <w:rFonts w:ascii="Arial" w:hAnsi="Arial" w:cs="Arial"/>
          <w:b/>
        </w:rPr>
        <w:tab/>
        <w:t>JOSE NEFTALI SANTOS RAMIREZ</w:t>
      </w:r>
    </w:p>
    <w:p w:rsidR="00CB7B53" w:rsidRPr="003D3EAC" w:rsidRDefault="00F933A7"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r>
        <w:rPr>
          <w:rFonts w:ascii="Arial" w:hAnsi="Arial" w:cs="Arial"/>
        </w:rPr>
        <w:t xml:space="preserve">                  </w:t>
      </w:r>
      <w:r w:rsidR="00CB7B53">
        <w:rPr>
          <w:rFonts w:ascii="Arial" w:hAnsi="Arial" w:cs="Arial"/>
        </w:rPr>
        <w:t>Ponente</w:t>
      </w:r>
      <w:r>
        <w:rPr>
          <w:rFonts w:ascii="Arial" w:hAnsi="Arial" w:cs="Arial"/>
        </w:rPr>
        <w:t xml:space="preserve">       </w:t>
      </w:r>
      <w:r w:rsidR="00CB7B53">
        <w:rPr>
          <w:rFonts w:ascii="Arial" w:hAnsi="Arial" w:cs="Arial"/>
        </w:rPr>
        <w:tab/>
      </w:r>
      <w:r w:rsidR="00CB7B53">
        <w:rPr>
          <w:rFonts w:ascii="Arial" w:hAnsi="Arial" w:cs="Arial"/>
        </w:rPr>
        <w:tab/>
      </w:r>
      <w:r w:rsidR="00CB7B53">
        <w:rPr>
          <w:rFonts w:ascii="Arial" w:hAnsi="Arial" w:cs="Arial"/>
        </w:rPr>
        <w:tab/>
      </w:r>
      <w:r w:rsidR="00CB7B53">
        <w:rPr>
          <w:rFonts w:ascii="Arial" w:hAnsi="Arial" w:cs="Arial"/>
        </w:rPr>
        <w:tab/>
      </w:r>
      <w:r w:rsidR="00CB7B53">
        <w:rPr>
          <w:rFonts w:ascii="Arial" w:hAnsi="Arial" w:cs="Arial"/>
        </w:rPr>
        <w:tab/>
      </w:r>
      <w:r w:rsidR="00CB7B53">
        <w:rPr>
          <w:rFonts w:ascii="Arial" w:hAnsi="Arial" w:cs="Arial"/>
        </w:rPr>
        <w:tab/>
        <w:t xml:space="preserve">Vicepresidente </w:t>
      </w: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CB7B53" w:rsidRPr="003D3EAC"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CB7B53" w:rsidRPr="003D3EAC"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CB7B53"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CB7B53" w:rsidRPr="003D3EAC" w:rsidRDefault="00CB7B53" w:rsidP="00CB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b/>
        </w:rPr>
        <w:t>AMPARO YANETH CALDERON PERDOMO</w:t>
      </w:r>
    </w:p>
    <w:p w:rsidR="002420F6" w:rsidRDefault="00CB7B53" w:rsidP="00CB7B53">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Pr>
          <w:rFonts w:ascii="Arial" w:hAnsi="Arial" w:cs="Arial"/>
        </w:rPr>
        <w:t xml:space="preserve">      </w:t>
      </w:r>
      <w:r w:rsidRPr="003D3EAC">
        <w:rPr>
          <w:rFonts w:ascii="Arial" w:hAnsi="Arial" w:cs="Arial"/>
        </w:rPr>
        <w:t>Secretaria</w:t>
      </w:r>
    </w:p>
    <w:sectPr w:rsidR="002420F6" w:rsidSect="005D6092">
      <w:headerReference w:type="default" r:id="rId7"/>
      <w:pgSz w:w="12240" w:h="15840"/>
      <w:pgMar w:top="2041" w:right="1418" w:bottom="1843" w:left="1418"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D7A" w:rsidRDefault="001A2D7A" w:rsidP="00F77946">
      <w:pPr>
        <w:spacing w:after="0" w:line="240" w:lineRule="auto"/>
      </w:pPr>
      <w:r>
        <w:separator/>
      </w:r>
    </w:p>
  </w:endnote>
  <w:endnote w:type="continuationSeparator" w:id="0">
    <w:p w:rsidR="001A2D7A" w:rsidRDefault="001A2D7A" w:rsidP="00F7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D7A" w:rsidRDefault="001A2D7A" w:rsidP="00F77946">
      <w:pPr>
        <w:spacing w:after="0" w:line="240" w:lineRule="auto"/>
      </w:pPr>
      <w:r>
        <w:separator/>
      </w:r>
    </w:p>
  </w:footnote>
  <w:footnote w:type="continuationSeparator" w:id="0">
    <w:p w:rsidR="001A2D7A" w:rsidRDefault="001A2D7A" w:rsidP="00F77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5B" w:rsidRDefault="001A2D7A">
    <w:pPr>
      <w:pStyle w:val="Encabezado"/>
    </w:pPr>
  </w:p>
  <w:p w:rsidR="008C155B" w:rsidRDefault="00DB7BD5" w:rsidP="008C155B">
    <w:pPr>
      <w:pStyle w:val="Encabezado"/>
      <w:jc w:val="center"/>
      <w:rPr>
        <w:b/>
      </w:rPr>
    </w:pPr>
    <w:r w:rsidRPr="00435EE6">
      <w:rPr>
        <w:noProof/>
        <w:lang w:eastAsia="es-CO"/>
      </w:rPr>
      <w:drawing>
        <wp:inline distT="0" distB="0" distL="0" distR="0" wp14:anchorId="1E597A69" wp14:editId="69B9E223">
          <wp:extent cx="2714625" cy="876300"/>
          <wp:effectExtent l="0" t="0" r="9525" b="0"/>
          <wp:docPr id="1" name="Imagen 1"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t="14999" b="15834"/>
                  <a:stretch>
                    <a:fillRect/>
                  </a:stretch>
                </pic:blipFill>
                <pic:spPr bwMode="auto">
                  <a:xfrm>
                    <a:off x="0" y="0"/>
                    <a:ext cx="2714625" cy="876300"/>
                  </a:xfrm>
                  <a:prstGeom prst="rect">
                    <a:avLst/>
                  </a:prstGeom>
                  <a:noFill/>
                  <a:ln>
                    <a:noFill/>
                  </a:ln>
                </pic:spPr>
              </pic:pic>
            </a:graphicData>
          </a:graphic>
        </wp:inline>
      </w:drawing>
    </w:r>
  </w:p>
  <w:p w:rsidR="008C155B" w:rsidRDefault="001A2D7A" w:rsidP="008C155B">
    <w:pPr>
      <w:pStyle w:val="Encabezado"/>
      <w:jc w:val="center"/>
      <w:rPr>
        <w:b/>
      </w:rPr>
    </w:pPr>
  </w:p>
  <w:p w:rsidR="001823CF" w:rsidRPr="006D79FE" w:rsidRDefault="001A2D7A" w:rsidP="008C155B">
    <w:pPr>
      <w:pStyle w:val="Encabezado"/>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6"/>
    <w:rsid w:val="000435A1"/>
    <w:rsid w:val="0011553A"/>
    <w:rsid w:val="001A2D7A"/>
    <w:rsid w:val="001D5982"/>
    <w:rsid w:val="002420F6"/>
    <w:rsid w:val="002E5F40"/>
    <w:rsid w:val="00382FA4"/>
    <w:rsid w:val="00491310"/>
    <w:rsid w:val="006F0869"/>
    <w:rsid w:val="007A4FEA"/>
    <w:rsid w:val="0083733B"/>
    <w:rsid w:val="0089546F"/>
    <w:rsid w:val="008E1041"/>
    <w:rsid w:val="008F7513"/>
    <w:rsid w:val="00970A17"/>
    <w:rsid w:val="009E4A3E"/>
    <w:rsid w:val="00A14387"/>
    <w:rsid w:val="00A60354"/>
    <w:rsid w:val="00AC324E"/>
    <w:rsid w:val="00B068A7"/>
    <w:rsid w:val="00B90FA9"/>
    <w:rsid w:val="00C83B35"/>
    <w:rsid w:val="00C91BB5"/>
    <w:rsid w:val="00CB7B53"/>
    <w:rsid w:val="00CD59C2"/>
    <w:rsid w:val="00CD74B1"/>
    <w:rsid w:val="00D04154"/>
    <w:rsid w:val="00D44156"/>
    <w:rsid w:val="00D535B0"/>
    <w:rsid w:val="00DB7BD5"/>
    <w:rsid w:val="00DE68EB"/>
    <w:rsid w:val="00DF1991"/>
    <w:rsid w:val="00F471EB"/>
    <w:rsid w:val="00F77946"/>
    <w:rsid w:val="00F86A7E"/>
    <w:rsid w:val="00F933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9D7E0-BB81-41F4-8AFD-8CDC792F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7946"/>
    <w:pPr>
      <w:spacing w:after="0" w:line="240" w:lineRule="auto"/>
      <w:ind w:left="720"/>
      <w:contextualSpacing/>
    </w:pPr>
  </w:style>
  <w:style w:type="paragraph" w:styleId="Encabezado">
    <w:name w:val="header"/>
    <w:basedOn w:val="Normal"/>
    <w:link w:val="EncabezadoCar"/>
    <w:uiPriority w:val="99"/>
    <w:unhideWhenUsed/>
    <w:rsid w:val="00F779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946"/>
  </w:style>
  <w:style w:type="paragraph" w:styleId="Piedepgina">
    <w:name w:val="footer"/>
    <w:basedOn w:val="Normal"/>
    <w:link w:val="PiedepginaCar"/>
    <w:uiPriority w:val="99"/>
    <w:unhideWhenUsed/>
    <w:rsid w:val="00F779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946"/>
  </w:style>
  <w:style w:type="paragraph" w:styleId="Sinespaciado">
    <w:name w:val="No Spacing"/>
    <w:uiPriority w:val="1"/>
    <w:qFormat/>
    <w:rsid w:val="00F77946"/>
    <w:pPr>
      <w:spacing w:after="0" w:line="240" w:lineRule="auto"/>
    </w:pPr>
  </w:style>
  <w:style w:type="character" w:styleId="nfasis">
    <w:name w:val="Emphasis"/>
    <w:basedOn w:val="Fuentedeprrafopredeter"/>
    <w:uiPriority w:val="20"/>
    <w:qFormat/>
    <w:rsid w:val="00F77946"/>
    <w:rPr>
      <w:i/>
      <w:iCs/>
    </w:rPr>
  </w:style>
  <w:style w:type="paragraph" w:styleId="NormalWeb">
    <w:name w:val="Normal (Web)"/>
    <w:basedOn w:val="Normal"/>
    <w:uiPriority w:val="99"/>
    <w:semiHidden/>
    <w:unhideWhenUsed/>
    <w:rsid w:val="00F779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77946"/>
    <w:rPr>
      <w:color w:val="0000FF"/>
      <w:u w:val="single"/>
    </w:rPr>
  </w:style>
  <w:style w:type="paragraph" w:styleId="Textonotapie">
    <w:name w:val="footnote text"/>
    <w:basedOn w:val="Normal"/>
    <w:link w:val="TextonotapieCar"/>
    <w:uiPriority w:val="99"/>
    <w:semiHidden/>
    <w:unhideWhenUsed/>
    <w:rsid w:val="00F779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F77946"/>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F77946"/>
    <w:rPr>
      <w:vertAlign w:val="superscript"/>
    </w:rPr>
  </w:style>
  <w:style w:type="table" w:styleId="Tablaconcuadrcula">
    <w:name w:val="Table Grid"/>
    <w:basedOn w:val="Tablanormal"/>
    <w:uiPriority w:val="59"/>
    <w:rsid w:val="00F77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5710">
      <w:bodyDiv w:val="1"/>
      <w:marLeft w:val="0"/>
      <w:marRight w:val="0"/>
      <w:marTop w:val="0"/>
      <w:marBottom w:val="0"/>
      <w:divBdr>
        <w:top w:val="none" w:sz="0" w:space="0" w:color="auto"/>
        <w:left w:val="none" w:sz="0" w:space="0" w:color="auto"/>
        <w:bottom w:val="none" w:sz="0" w:space="0" w:color="auto"/>
        <w:right w:val="none" w:sz="0" w:space="0" w:color="auto"/>
      </w:divBdr>
    </w:div>
    <w:div w:id="552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1565</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soniacortes</dc:creator>
  <cp:keywords/>
  <dc:description/>
  <cp:lastModifiedBy>soniacortes</cp:lastModifiedBy>
  <cp:revision>25</cp:revision>
  <dcterms:created xsi:type="dcterms:W3CDTF">2015-05-06T19:56:00Z</dcterms:created>
  <dcterms:modified xsi:type="dcterms:W3CDTF">2015-05-12T22:41:00Z</dcterms:modified>
</cp:coreProperties>
</file>